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eastAsia="zh-CN"/>
        </w:rPr>
      </w:pPr>
      <w:r>
        <w:rPr>
          <w:rFonts w:hint="eastAsia"/>
          <w:b/>
          <w:bCs/>
          <w:sz w:val="44"/>
          <w:szCs w:val="44"/>
          <w:lang w:eastAsia="zh-CN"/>
        </w:rPr>
        <w:t>文登创业水务有限公司信息公开</w:t>
      </w:r>
    </w:p>
    <w:p>
      <w:pPr>
        <w:numPr>
          <w:ilvl w:val="0"/>
          <w:numId w:val="0"/>
        </w:numPr>
        <w:rPr>
          <w:rFonts w:hint="eastAsia"/>
          <w:sz w:val="24"/>
          <w:szCs w:val="24"/>
          <w:lang w:eastAsia="zh-CN"/>
        </w:rPr>
      </w:pPr>
      <w:r>
        <w:rPr>
          <w:rFonts w:hint="eastAsia"/>
          <w:sz w:val="24"/>
          <w:szCs w:val="24"/>
          <w:lang w:eastAsia="zh-CN"/>
        </w:rPr>
        <w:t>一、基础信息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 xml:space="preserve">单位名称：文登创业水务有限公司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统一社会信用代码：91371081661386940A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法定代表人：聂有壮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生产地址：威海市文登区环山办环兴路1号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联系方式：0631-8253421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行业类别：污水处理及其再生利用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处理规模：8万吨/天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eastAsia="zh-CN"/>
        </w:rPr>
        <w:t>生产经营和管理服务：</w:t>
      </w:r>
      <w:r>
        <w:rPr>
          <w:rFonts w:hint="eastAsia"/>
          <w:sz w:val="24"/>
          <w:szCs w:val="24"/>
        </w:rPr>
        <w:t>公司创立于2007年4月，注册资本为6140万元人民币，为天津创业环保集团股份有限公司全资子公司</w:t>
      </w:r>
      <w:r>
        <w:rPr>
          <w:rFonts w:hint="eastAsia"/>
          <w:sz w:val="24"/>
          <w:szCs w:val="24"/>
          <w:lang w:eastAsia="zh-CN"/>
        </w:rPr>
        <w:t>。</w:t>
      </w:r>
      <w:r>
        <w:rPr>
          <w:rFonts w:hint="eastAsia"/>
          <w:sz w:val="24"/>
          <w:szCs w:val="24"/>
        </w:rPr>
        <w:t>公司占地面积153.5亩，所属文登污水处理厂，主要承担文登城区、经济开发区和文登营、米山等周边镇生活污水和</w:t>
      </w:r>
      <w:r>
        <w:rPr>
          <w:rFonts w:hint="eastAsia"/>
          <w:sz w:val="24"/>
          <w:szCs w:val="24"/>
          <w:lang w:eastAsia="zh-CN"/>
        </w:rPr>
        <w:t>部分</w:t>
      </w:r>
      <w:r>
        <w:rPr>
          <w:rFonts w:hint="eastAsia"/>
          <w:sz w:val="24"/>
          <w:szCs w:val="24"/>
        </w:rPr>
        <w:t>工业废水的处理，服务人口约35万人。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排污信息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1、</w:t>
      </w:r>
      <w:r>
        <w:rPr>
          <w:rFonts w:hint="eastAsia" w:asciiTheme="minorHAnsi" w:hAnsiTheme="minorHAnsi" w:eastAsiaTheme="minorEastAsia" w:cstheme="minorBidi"/>
          <w:kern w:val="2"/>
          <w:sz w:val="24"/>
          <w:szCs w:val="24"/>
          <w:lang w:val="en-US" w:eastAsia="zh-CN" w:bidi="ar-SA"/>
        </w:rPr>
        <w:t>主要污染物名称：COD、氨氮</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2、排放方式：连续排放</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3、排放口数量：1个   分</w:t>
      </w:r>
      <w:r>
        <w:rPr>
          <w:rFonts w:hint="eastAsia" w:cstheme="minorBidi"/>
          <w:kern w:val="2"/>
          <w:sz w:val="24"/>
          <w:szCs w:val="24"/>
          <w:lang w:val="en-US" w:eastAsia="zh-CN" w:bidi="ar-SA"/>
        </w:rPr>
        <w:t>布</w:t>
      </w:r>
      <w:r>
        <w:rPr>
          <w:rFonts w:hint="eastAsia" w:asciiTheme="minorHAnsi" w:hAnsiTheme="minorHAnsi" w:eastAsiaTheme="minorEastAsia" w:cstheme="minorBidi"/>
          <w:kern w:val="2"/>
          <w:sz w:val="24"/>
          <w:szCs w:val="24"/>
          <w:lang w:val="en-US" w:eastAsia="zh-CN" w:bidi="ar-SA"/>
        </w:rPr>
        <w:t>情况：文登创业水务有限公司</w:t>
      </w:r>
      <w:r>
        <w:rPr>
          <w:rFonts w:hint="eastAsia" w:cstheme="minorBidi"/>
          <w:kern w:val="2"/>
          <w:sz w:val="24"/>
          <w:szCs w:val="24"/>
          <w:lang w:val="en-US" w:eastAsia="zh-CN" w:bidi="ar-SA"/>
        </w:rPr>
        <w:t>厂区北</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 xml:space="preserve">4、排放浓度：COD </w:t>
      </w:r>
      <w:r>
        <w:rPr>
          <w:rFonts w:hint="eastAsia" w:cstheme="minorBidi"/>
          <w:kern w:val="2"/>
          <w:sz w:val="24"/>
          <w:szCs w:val="24"/>
          <w:lang w:val="en-US" w:eastAsia="zh-CN" w:bidi="ar-SA"/>
        </w:rPr>
        <w:t>36.5</w:t>
      </w:r>
      <w:r>
        <w:rPr>
          <w:rFonts w:hint="eastAsia" w:asciiTheme="minorHAnsi" w:hAnsiTheme="minorHAnsi" w:eastAsiaTheme="minorEastAsia" w:cstheme="minorBidi"/>
          <w:kern w:val="2"/>
          <w:sz w:val="24"/>
          <w:szCs w:val="24"/>
          <w:lang w:val="en-US" w:eastAsia="zh-CN" w:bidi="ar-SA"/>
        </w:rPr>
        <w:t xml:space="preserve"> mg/l、氨氮 </w:t>
      </w:r>
      <w:r>
        <w:rPr>
          <w:rFonts w:hint="eastAsia" w:cstheme="minorBidi"/>
          <w:kern w:val="2"/>
          <w:sz w:val="24"/>
          <w:szCs w:val="24"/>
          <w:lang w:val="en-US" w:eastAsia="zh-CN" w:bidi="ar-SA"/>
        </w:rPr>
        <w:t>1.84</w:t>
      </w:r>
      <w:r>
        <w:rPr>
          <w:rFonts w:hint="eastAsia" w:asciiTheme="minorHAnsi" w:hAnsiTheme="minorHAnsi" w:eastAsiaTheme="minorEastAsia" w:cstheme="minorBidi"/>
          <w:kern w:val="2"/>
          <w:sz w:val="24"/>
          <w:szCs w:val="24"/>
          <w:lang w:val="en-US" w:eastAsia="zh-CN" w:bidi="ar-SA"/>
        </w:rPr>
        <w:t xml:space="preserve"> mg/l，无超标情况</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default"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 xml:space="preserve">5、排放总量：COD </w:t>
      </w:r>
      <w:r>
        <w:rPr>
          <w:rFonts w:hint="eastAsia" w:cstheme="minorBidi"/>
          <w:kern w:val="2"/>
          <w:sz w:val="24"/>
          <w:szCs w:val="24"/>
          <w:lang w:val="en-US" w:eastAsia="zh-CN" w:bidi="ar-SA"/>
        </w:rPr>
        <w:t>1009</w:t>
      </w:r>
      <w:r>
        <w:rPr>
          <w:rFonts w:hint="eastAsia" w:asciiTheme="minorHAnsi" w:hAnsiTheme="minorHAnsi" w:eastAsiaTheme="minorEastAsia" w:cstheme="minorBidi"/>
          <w:kern w:val="2"/>
          <w:sz w:val="24"/>
          <w:szCs w:val="24"/>
          <w:lang w:val="en-US" w:eastAsia="zh-CN" w:bidi="ar-SA"/>
        </w:rPr>
        <w:t xml:space="preserve"> 吨/年，</w:t>
      </w:r>
      <w:r>
        <w:rPr>
          <w:rFonts w:hint="eastAsia" w:cstheme="minorBidi"/>
          <w:kern w:val="2"/>
          <w:sz w:val="24"/>
          <w:szCs w:val="24"/>
          <w:lang w:val="en-US" w:eastAsia="zh-CN" w:bidi="ar-SA"/>
        </w:rPr>
        <w:t>氨氮 51吨/年</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6、执行的污染物排放标准：《城镇污水处理厂污染物排放标准》（GB18918-2002）一级A标准。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1"/>
          <w:szCs w:val="21"/>
          <w:lang w:val="en-US" w:eastAsia="zh-CN"/>
        </w:rPr>
      </w:pPr>
      <w:r>
        <w:rPr>
          <w:rFonts w:hint="eastAsia" w:asciiTheme="minorHAnsi" w:hAnsiTheme="minorHAnsi" w:eastAsiaTheme="minorEastAsia" w:cstheme="minorBidi"/>
          <w:kern w:val="2"/>
          <w:sz w:val="24"/>
          <w:szCs w:val="24"/>
          <w:lang w:val="en-US" w:eastAsia="zh-CN" w:bidi="ar-SA"/>
        </w:rPr>
        <w:t xml:space="preserve">7、核定的排放总量：COD </w:t>
      </w:r>
      <w:r>
        <w:rPr>
          <w:rFonts w:hint="eastAsia" w:cstheme="minorBidi"/>
          <w:kern w:val="2"/>
          <w:sz w:val="24"/>
          <w:szCs w:val="24"/>
          <w:lang w:val="en-US" w:eastAsia="zh-CN" w:bidi="ar-SA"/>
        </w:rPr>
        <w:t>1200</w:t>
      </w:r>
      <w:r>
        <w:rPr>
          <w:rFonts w:hint="eastAsia" w:asciiTheme="minorHAnsi" w:hAnsiTheme="minorHAnsi" w:eastAsiaTheme="minorEastAsia" w:cstheme="minorBidi"/>
          <w:kern w:val="2"/>
          <w:sz w:val="24"/>
          <w:szCs w:val="24"/>
          <w:lang w:val="en-US" w:eastAsia="zh-CN" w:bidi="ar-SA"/>
        </w:rPr>
        <w:t xml:space="preserve"> 吨/年，氨氮 </w:t>
      </w:r>
      <w:r>
        <w:rPr>
          <w:rFonts w:hint="eastAsia" w:cstheme="minorBidi"/>
          <w:kern w:val="2"/>
          <w:sz w:val="24"/>
          <w:szCs w:val="24"/>
          <w:lang w:val="en-US" w:eastAsia="zh-CN" w:bidi="ar-SA"/>
        </w:rPr>
        <w:t>140</w:t>
      </w:r>
      <w:r>
        <w:rPr>
          <w:rFonts w:hint="eastAsia" w:asciiTheme="minorHAnsi" w:hAnsiTheme="minorHAnsi" w:eastAsiaTheme="minorEastAsia" w:cstheme="minorBidi"/>
          <w:kern w:val="2"/>
          <w:sz w:val="24"/>
          <w:szCs w:val="24"/>
          <w:lang w:val="en-US" w:eastAsia="zh-CN" w:bidi="ar-SA"/>
        </w:rPr>
        <w:t xml:space="preserve"> 吨/年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sz w:val="24"/>
          <w:szCs w:val="24"/>
          <w:lang w:val="en-US" w:eastAsia="zh-CN"/>
        </w:rPr>
      </w:pPr>
      <w:r>
        <w:rPr>
          <w:rFonts w:hint="eastAsia"/>
          <w:sz w:val="24"/>
          <w:szCs w:val="24"/>
          <w:lang w:val="en-US" w:eastAsia="zh-CN"/>
        </w:rPr>
        <w:t>三、防治污染设施的建设和运行情况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文登污水处理厂一期工程始建于1995年11月，2000年7月正式投入运行，采用奥贝尔氧化沟工艺，设计日处理能力为3万吨。二期改扩建工程于2004年动工建设，2008年8月正式投入运行，采用卡鲁赛尔氧化沟工艺，设计日处理能力为5万吨。升级改造工程于2014年7月动工建设，2015年1月正式投入运行，新建反硝化滤池、微絮凝滤池、紫外消毒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rPr>
        <w:t>目前，污水处理系统运行稳定，出水指标均达到《城镇污水处理厂污染物排放标准》（GB18918-2002）一级A排放标准，出水达标率100%。</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eastAsia"/>
          <w:sz w:val="24"/>
          <w:szCs w:val="24"/>
          <w:lang w:val="en-US" w:eastAsia="zh-CN"/>
        </w:rPr>
      </w:pPr>
      <w:r>
        <w:rPr>
          <w:rFonts w:hint="eastAsia"/>
          <w:sz w:val="24"/>
          <w:szCs w:val="24"/>
          <w:lang w:val="en-US" w:eastAsia="zh-CN"/>
        </w:rPr>
        <w:t>建设项目环境影响评价及其他环境保护行政许可情况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1、《关于文登市污水处理厂工程环境影响报告书的批复》：威环发【1997】67号，1997年8月25日。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2、《关于文登市污水处理厂“城市污水处理厂二期工程”建设项目环境影响报告表的批复》：文环开发【2004】5号，2004年7月2日。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3、《文登市污水处理厂升级改造工程环境影响报告表》批复：文环审（2014）1-28   2014年1月29日。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4、排污许可证  发证部门：威海市文登区环境保护局；许可证编号：2016-3；发证日期：2016年8月1日；有效期：2016年8月1日至2018年7月31日；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五、突发环境事件应急预案</w:t>
      </w:r>
    </w:p>
    <w:p>
      <w:pPr>
        <w:pStyle w:val="19"/>
        <w:rPr>
          <w:rFonts w:hint="eastAsia"/>
        </w:rPr>
      </w:pPr>
    </w:p>
    <w:p>
      <w:pPr>
        <w:jc w:val="center"/>
        <w:rPr>
          <w:rFonts w:hint="eastAsia" w:hAnsi="宋体"/>
          <w:b/>
          <w:bCs/>
          <w:sz w:val="44"/>
          <w:szCs w:val="44"/>
        </w:rPr>
      </w:pPr>
      <w:r>
        <w:rPr>
          <w:rFonts w:hint="eastAsia" w:hAnsi="宋体"/>
          <w:b/>
          <w:bCs/>
          <w:sz w:val="44"/>
          <w:szCs w:val="44"/>
        </w:rPr>
        <w:t>文登创业水务有限公司</w:t>
      </w:r>
    </w:p>
    <w:p>
      <w:pPr>
        <w:jc w:val="center"/>
        <w:rPr>
          <w:rFonts w:hint="eastAsia" w:hAnsi="宋体"/>
          <w:b/>
          <w:bCs/>
          <w:sz w:val="44"/>
          <w:szCs w:val="44"/>
        </w:rPr>
      </w:pPr>
      <w:r>
        <w:rPr>
          <w:rFonts w:hint="eastAsia" w:hAnsi="宋体"/>
          <w:b/>
          <w:bCs/>
          <w:sz w:val="44"/>
          <w:szCs w:val="44"/>
        </w:rPr>
        <w:t>突发环境事件应急预案</w:t>
      </w:r>
    </w:p>
    <w:p>
      <w:pPr>
        <w:jc w:val="center"/>
        <w:rPr>
          <w:rFonts w:hint="eastAsia" w:hAnsi="宋体"/>
          <w:b/>
          <w:bCs/>
          <w:sz w:val="44"/>
          <w:szCs w:val="44"/>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spacing w:line="360" w:lineRule="auto"/>
        <w:ind w:firstLine="2249" w:firstLineChars="700"/>
        <w:rPr>
          <w:rFonts w:hint="eastAsia" w:hAnsi="宋体"/>
          <w:b/>
          <w:sz w:val="32"/>
          <w:szCs w:val="32"/>
          <w:lang w:eastAsia="zh-CN"/>
        </w:rPr>
      </w:pPr>
      <w:r>
        <w:rPr>
          <w:rFonts w:hAnsi="宋体"/>
          <w:b/>
          <w:sz w:val="32"/>
          <w:szCs w:val="32"/>
        </w:rPr>
        <w:t>项目单位：</w:t>
      </w:r>
      <w:r>
        <w:rPr>
          <w:rFonts w:hint="eastAsia" w:hAnsi="宋体"/>
          <w:b/>
          <w:sz w:val="32"/>
          <w:szCs w:val="32"/>
          <w:lang w:eastAsia="zh-CN"/>
        </w:rPr>
        <w:t>文登污水处理厂</w:t>
      </w:r>
    </w:p>
    <w:p>
      <w:pPr>
        <w:spacing w:line="360" w:lineRule="auto"/>
        <w:ind w:firstLine="3213" w:firstLineChars="1000"/>
        <w:rPr>
          <w:rFonts w:hint="eastAsia" w:hAnsi="宋体"/>
          <w:b/>
          <w:sz w:val="32"/>
          <w:szCs w:val="32"/>
          <w:lang w:eastAsia="zh-CN"/>
        </w:rPr>
      </w:pPr>
    </w:p>
    <w:p>
      <w:pPr>
        <w:spacing w:line="360" w:lineRule="auto"/>
        <w:ind w:firstLine="3213" w:firstLineChars="1000"/>
        <w:rPr>
          <w:rFonts w:hint="eastAsia" w:hAnsi="宋体"/>
          <w:b/>
          <w:sz w:val="32"/>
          <w:szCs w:val="32"/>
          <w:lang w:eastAsia="zh-CN"/>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p>
      <w:pPr>
        <w:rPr>
          <w:rFonts w:hint="eastAsia" w:hAnsi="宋体"/>
          <w:sz w:val="28"/>
          <w:szCs w:val="28"/>
        </w:rPr>
      </w:pPr>
    </w:p>
    <w:sdt>
      <w:sdtPr>
        <w:rPr>
          <w:rFonts w:ascii="宋体" w:hAnsi="宋体" w:eastAsia="宋体" w:cs="Times New Roman"/>
          <w:kern w:val="2"/>
          <w:sz w:val="21"/>
          <w:szCs w:val="24"/>
          <w:lang w:val="en-US" w:eastAsia="zh-CN" w:bidi="ar-SA"/>
        </w:rPr>
        <w:id w:val="147454170"/>
        <w:docPartObj>
          <w:docPartGallery w:val="Table of Contents"/>
          <w:docPartUnique/>
        </w:docPartObj>
      </w:sdtPr>
      <w:sdtEndPr>
        <w:rPr>
          <w:rFonts w:ascii="Times New Roman" w:hAnsi="Times New Roman" w:eastAsia="宋体" w:cs="Times New Roman"/>
          <w:kern w:val="2"/>
          <w:sz w:val="24"/>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29162_WPSOffice_Type1"/>
          <w:r>
            <w:rPr>
              <w:rFonts w:ascii="宋体" w:hAnsi="宋体" w:eastAsia="宋体"/>
              <w:sz w:val="21"/>
            </w:rPr>
            <w:t>目录</w:t>
          </w:r>
        </w:p>
        <w:p>
          <w:pPr>
            <w:pStyle w:val="19"/>
            <w:tabs>
              <w:tab w:val="right" w:leader="dot" w:pos="8306"/>
            </w:tabs>
          </w:pPr>
          <w:r>
            <w:fldChar w:fldCharType="begin"/>
          </w:r>
          <w:r>
            <w:instrText xml:space="preserve"> HYPERLINK \l _Toc6103_WPSOffice_Level1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47b53e22-d2c7-43c6-9e36-8185e30016cf}"/>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1.1 编制背景和目的</w:t>
              </w:r>
            </w:sdtContent>
          </w:sdt>
          <w:r>
            <w:tab/>
          </w:r>
          <w:bookmarkStart w:id="1" w:name="_Toc6103_WPSOffice_Level1Page"/>
          <w:r>
            <w:t>1</w:t>
          </w:r>
          <w:bookmarkEnd w:id="1"/>
          <w:r>
            <w:fldChar w:fldCharType="end"/>
          </w:r>
        </w:p>
        <w:p>
          <w:pPr>
            <w:pStyle w:val="19"/>
            <w:tabs>
              <w:tab w:val="right" w:leader="dot" w:pos="8306"/>
            </w:tabs>
          </w:pPr>
          <w:r>
            <w:fldChar w:fldCharType="begin"/>
          </w:r>
          <w:r>
            <w:instrText xml:space="preserve"> HYPERLINK \l _Toc29162_WPSOffice_Level1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7ae93232-9559-4408-922f-604f1fbf86e2}"/>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1.2 编制依据</w:t>
              </w:r>
            </w:sdtContent>
          </w:sdt>
          <w:r>
            <w:tab/>
          </w:r>
          <w:bookmarkStart w:id="2" w:name="_Toc29162_WPSOffice_Level1Page"/>
          <w:r>
            <w:t>1</w:t>
          </w:r>
          <w:bookmarkEnd w:id="2"/>
          <w:r>
            <w:fldChar w:fldCharType="end"/>
          </w:r>
        </w:p>
        <w:p>
          <w:pPr>
            <w:pStyle w:val="19"/>
            <w:tabs>
              <w:tab w:val="right" w:leader="dot" w:pos="8306"/>
            </w:tabs>
          </w:pPr>
          <w:r>
            <w:fldChar w:fldCharType="begin"/>
          </w:r>
          <w:r>
            <w:instrText xml:space="preserve"> HYPERLINK \l _Toc10129_WPSOffice_Level1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8c7e2c1f-f299-4257-b0dc-351b3f946cc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1.3 适用范围</w:t>
              </w:r>
            </w:sdtContent>
          </w:sdt>
          <w:r>
            <w:tab/>
          </w:r>
          <w:bookmarkStart w:id="3" w:name="_Toc10129_WPSOffice_Level1Page"/>
          <w:r>
            <w:t>2</w:t>
          </w:r>
          <w:bookmarkEnd w:id="3"/>
          <w:r>
            <w:fldChar w:fldCharType="end"/>
          </w:r>
        </w:p>
        <w:p>
          <w:pPr>
            <w:pStyle w:val="19"/>
            <w:tabs>
              <w:tab w:val="right" w:leader="dot" w:pos="8306"/>
            </w:tabs>
          </w:pPr>
          <w:r>
            <w:fldChar w:fldCharType="begin"/>
          </w:r>
          <w:r>
            <w:instrText xml:space="preserve"> HYPERLINK \l _Toc6570_WPSOffice_Level1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c7fa4237-1223-4ab3-9398-65efa96d9bd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1.4 事件分级</w:t>
              </w:r>
            </w:sdtContent>
          </w:sdt>
          <w:r>
            <w:tab/>
          </w:r>
          <w:bookmarkStart w:id="4" w:name="_Toc6570_WPSOffice_Level1Page"/>
          <w:r>
            <w:t>2</w:t>
          </w:r>
          <w:bookmarkEnd w:id="4"/>
          <w:r>
            <w:fldChar w:fldCharType="end"/>
          </w:r>
        </w:p>
        <w:p>
          <w:pPr>
            <w:pStyle w:val="19"/>
            <w:tabs>
              <w:tab w:val="right" w:leader="dot" w:pos="8306"/>
            </w:tabs>
          </w:pPr>
          <w:r>
            <w:fldChar w:fldCharType="begin"/>
          </w:r>
          <w:r>
            <w:instrText xml:space="preserve"> HYPERLINK \l _Toc20321_WPSOffice_Level1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bf160ff-b984-4307-9717-b0ab1ea86a8b}"/>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1.5 工作原则</w:t>
              </w:r>
            </w:sdtContent>
          </w:sdt>
          <w:r>
            <w:tab/>
          </w:r>
          <w:bookmarkStart w:id="5" w:name="_Toc20321_WPSOffice_Level1Page"/>
          <w:r>
            <w:t>2</w:t>
          </w:r>
          <w:bookmarkEnd w:id="5"/>
          <w:r>
            <w:fldChar w:fldCharType="end"/>
          </w:r>
        </w:p>
        <w:p>
          <w:pPr>
            <w:pStyle w:val="19"/>
            <w:tabs>
              <w:tab w:val="right" w:leader="dot" w:pos="8306"/>
            </w:tabs>
          </w:pPr>
          <w:r>
            <w:fldChar w:fldCharType="begin"/>
          </w:r>
          <w:r>
            <w:instrText xml:space="preserve"> HYPERLINK \l _Toc31401_WPSOffice_Level1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23b508e-e6a1-4786-bf92-84e144bb959f}"/>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2基本情况调查</w:t>
              </w:r>
            </w:sdtContent>
          </w:sdt>
          <w:r>
            <w:tab/>
          </w:r>
          <w:bookmarkStart w:id="6" w:name="_Toc31401_WPSOffice_Level1Page"/>
          <w:r>
            <w:t>3</w:t>
          </w:r>
          <w:bookmarkEnd w:id="6"/>
          <w:r>
            <w:fldChar w:fldCharType="end"/>
          </w:r>
        </w:p>
        <w:p>
          <w:pPr>
            <w:pStyle w:val="19"/>
            <w:tabs>
              <w:tab w:val="right" w:leader="dot" w:pos="8306"/>
            </w:tabs>
          </w:pPr>
          <w:r>
            <w:fldChar w:fldCharType="begin"/>
          </w:r>
          <w:r>
            <w:instrText xml:space="preserve"> HYPERLINK \l _Toc572_WPSOffice_Level1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73ee7b14-f328-4b74-bdb0-462dee376cd0}"/>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2.1 企业概况</w:t>
              </w:r>
            </w:sdtContent>
          </w:sdt>
          <w:r>
            <w:tab/>
          </w:r>
          <w:bookmarkStart w:id="7" w:name="_Toc572_WPSOffice_Level1Page"/>
          <w:r>
            <w:t>3</w:t>
          </w:r>
          <w:bookmarkEnd w:id="7"/>
          <w:r>
            <w:fldChar w:fldCharType="end"/>
          </w:r>
        </w:p>
        <w:p>
          <w:pPr>
            <w:pStyle w:val="19"/>
            <w:tabs>
              <w:tab w:val="right" w:leader="dot" w:pos="8306"/>
            </w:tabs>
          </w:pPr>
          <w:r>
            <w:fldChar w:fldCharType="begin"/>
          </w:r>
          <w:r>
            <w:instrText xml:space="preserve"> HYPERLINK \l _Toc17199_WPSOffice_Level1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44ffbade-e959-4498-aa01-d403c73f5e3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2.2 企业周围的自然环境及社会环境</w:t>
              </w:r>
            </w:sdtContent>
          </w:sdt>
          <w:r>
            <w:tab/>
          </w:r>
          <w:bookmarkStart w:id="8" w:name="_Toc17199_WPSOffice_Level1Page"/>
          <w:r>
            <w:t>4</w:t>
          </w:r>
          <w:bookmarkEnd w:id="8"/>
          <w:r>
            <w:fldChar w:fldCharType="end"/>
          </w:r>
        </w:p>
        <w:p>
          <w:pPr>
            <w:pStyle w:val="19"/>
            <w:tabs>
              <w:tab w:val="right" w:leader="dot" w:pos="8306"/>
            </w:tabs>
          </w:pPr>
          <w:r>
            <w:fldChar w:fldCharType="begin"/>
          </w:r>
          <w:r>
            <w:instrText xml:space="preserve"> HYPERLINK \l _Toc23938_WPSOffice_Level1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1d542b35-928b-4906-8e60-51719ddcfd1f}"/>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2.3 企业生产现状</w:t>
              </w:r>
            </w:sdtContent>
          </w:sdt>
          <w:r>
            <w:tab/>
          </w:r>
          <w:bookmarkStart w:id="9" w:name="_Toc23938_WPSOffice_Level1Page"/>
          <w:r>
            <w:t>5</w:t>
          </w:r>
          <w:bookmarkEnd w:id="9"/>
          <w:r>
            <w:fldChar w:fldCharType="end"/>
          </w:r>
        </w:p>
        <w:p>
          <w:pPr>
            <w:pStyle w:val="19"/>
            <w:tabs>
              <w:tab w:val="right" w:leader="dot" w:pos="8306"/>
            </w:tabs>
          </w:pPr>
          <w:r>
            <w:fldChar w:fldCharType="begin"/>
          </w:r>
          <w:r>
            <w:instrText xml:space="preserve"> HYPERLINK \l _Toc2672_WPSOffice_Level1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b511efd5-04a7-4880-aacd-a8a07343f7a4}"/>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2.4 主要产品及规模</w:t>
              </w:r>
            </w:sdtContent>
          </w:sdt>
          <w:r>
            <w:tab/>
          </w:r>
          <w:bookmarkStart w:id="10" w:name="_Toc2672_WPSOffice_Level1Page"/>
          <w:r>
            <w:t>6</w:t>
          </w:r>
          <w:bookmarkEnd w:id="10"/>
          <w:r>
            <w:fldChar w:fldCharType="end"/>
          </w:r>
        </w:p>
        <w:p>
          <w:pPr>
            <w:pStyle w:val="19"/>
            <w:tabs>
              <w:tab w:val="right" w:leader="dot" w:pos="8306"/>
            </w:tabs>
          </w:pPr>
          <w:r>
            <w:fldChar w:fldCharType="begin"/>
          </w:r>
          <w:r>
            <w:instrText xml:space="preserve"> HYPERLINK \l _Toc5541_WPSOffice_Level1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3075dd6-8080-49a5-9bc3-51ef19083f47}"/>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2.5污水处理工艺流程</w:t>
              </w:r>
            </w:sdtContent>
          </w:sdt>
          <w:r>
            <w:tab/>
          </w:r>
          <w:bookmarkStart w:id="11" w:name="_Toc5541_WPSOffice_Level1Page"/>
          <w:r>
            <w:t>6</w:t>
          </w:r>
          <w:bookmarkEnd w:id="11"/>
          <w:r>
            <w:fldChar w:fldCharType="end"/>
          </w:r>
        </w:p>
        <w:p>
          <w:pPr>
            <w:pStyle w:val="19"/>
            <w:tabs>
              <w:tab w:val="right" w:leader="dot" w:pos="8306"/>
            </w:tabs>
          </w:pPr>
          <w:r>
            <w:fldChar w:fldCharType="begin"/>
          </w:r>
          <w:r>
            <w:instrText xml:space="preserve"> HYPERLINK \l _Toc27898_WPSOffice_Level1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af5b551-c4c0-42b6-9ed8-ad2c03d49ff9}"/>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2.6污染物产生情况及环保措施</w:t>
              </w:r>
            </w:sdtContent>
          </w:sdt>
          <w:r>
            <w:tab/>
          </w:r>
          <w:bookmarkStart w:id="12" w:name="_Toc27898_WPSOffice_Level1Page"/>
          <w:r>
            <w:t>7</w:t>
          </w:r>
          <w:bookmarkEnd w:id="12"/>
          <w:r>
            <w:fldChar w:fldCharType="end"/>
          </w:r>
        </w:p>
        <w:p>
          <w:pPr>
            <w:pStyle w:val="19"/>
            <w:tabs>
              <w:tab w:val="right" w:leader="dot" w:pos="8306"/>
            </w:tabs>
          </w:pPr>
          <w:r>
            <w:fldChar w:fldCharType="begin"/>
          </w:r>
          <w:r>
            <w:instrText xml:space="preserve"> HYPERLINK \l _Toc12113_WPSOffice_Level1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d4a88833-6221-492c-9ff0-2d1302a4751e}"/>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2.7</w:t>
              </w:r>
              <w:r>
                <w:rPr>
                  <w:rFonts w:hint="eastAsia" w:ascii="Times New Roman" w:hAnsi="宋体" w:eastAsia="宋体" w:cs="Times New Roman"/>
                </w:rPr>
                <w:t>固体</w:t>
              </w:r>
              <w:r>
                <w:rPr>
                  <w:rFonts w:hint="eastAsia" w:ascii="Arial" w:hAnsi="Arial" w:eastAsia="宋体" w:cs="Times New Roman"/>
                </w:rPr>
                <w:t>废物</w:t>
              </w:r>
            </w:sdtContent>
          </w:sdt>
          <w:r>
            <w:tab/>
          </w:r>
          <w:bookmarkStart w:id="13" w:name="_Toc12113_WPSOffice_Level1Page"/>
          <w:r>
            <w:t>8</w:t>
          </w:r>
          <w:bookmarkEnd w:id="13"/>
          <w:r>
            <w:fldChar w:fldCharType="end"/>
          </w:r>
        </w:p>
        <w:p>
          <w:pPr>
            <w:pStyle w:val="19"/>
            <w:tabs>
              <w:tab w:val="right" w:leader="dot" w:pos="8306"/>
            </w:tabs>
          </w:pPr>
          <w:r>
            <w:fldChar w:fldCharType="begin"/>
          </w:r>
          <w:r>
            <w:instrText xml:space="preserve"> HYPERLINK \l _Toc13750_WPSOffice_Level1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378bf0d-15fc-4e7e-a1ac-30143f969050}"/>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3环境危险性分析</w:t>
              </w:r>
            </w:sdtContent>
          </w:sdt>
          <w:r>
            <w:tab/>
          </w:r>
          <w:bookmarkStart w:id="14" w:name="_Toc13750_WPSOffice_Level1Page"/>
          <w:r>
            <w:t>9</w:t>
          </w:r>
          <w:bookmarkEnd w:id="14"/>
          <w:r>
            <w:fldChar w:fldCharType="end"/>
          </w:r>
        </w:p>
        <w:p>
          <w:pPr>
            <w:pStyle w:val="19"/>
            <w:tabs>
              <w:tab w:val="right" w:leader="dot" w:pos="8306"/>
            </w:tabs>
          </w:pPr>
          <w:r>
            <w:fldChar w:fldCharType="begin"/>
          </w:r>
          <w:r>
            <w:instrText xml:space="preserve"> HYPERLINK \l _Toc1782_WPSOffice_Level1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7b6dccf-ef08-4fb9-ada9-fb17c5da48b9}"/>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3.1 环境危险源分析及危害</w:t>
              </w:r>
            </w:sdtContent>
          </w:sdt>
          <w:r>
            <w:tab/>
          </w:r>
          <w:bookmarkStart w:id="15" w:name="_Toc1782_WPSOffice_Level1Page"/>
          <w:r>
            <w:t>9</w:t>
          </w:r>
          <w:bookmarkEnd w:id="15"/>
          <w:r>
            <w:fldChar w:fldCharType="end"/>
          </w:r>
        </w:p>
        <w:p>
          <w:pPr>
            <w:pStyle w:val="19"/>
            <w:tabs>
              <w:tab w:val="right" w:leader="dot" w:pos="8306"/>
            </w:tabs>
          </w:pPr>
          <w:r>
            <w:fldChar w:fldCharType="begin"/>
          </w:r>
          <w:r>
            <w:instrText xml:space="preserve"> HYPERLINK \l _Toc16348_WPSOffice_Level1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70573c64-d21a-40f4-8189-80ece3f2495b}"/>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3.2 环境危险事故分级</w:t>
              </w:r>
            </w:sdtContent>
          </w:sdt>
          <w:r>
            <w:tab/>
          </w:r>
          <w:bookmarkStart w:id="16" w:name="_Toc16348_WPSOffice_Level1Page"/>
          <w:r>
            <w:t>12</w:t>
          </w:r>
          <w:bookmarkEnd w:id="16"/>
          <w:r>
            <w:fldChar w:fldCharType="end"/>
          </w:r>
        </w:p>
        <w:p>
          <w:pPr>
            <w:pStyle w:val="19"/>
            <w:tabs>
              <w:tab w:val="right" w:leader="dot" w:pos="8306"/>
            </w:tabs>
          </w:pPr>
          <w:r>
            <w:fldChar w:fldCharType="begin"/>
          </w:r>
          <w:r>
            <w:instrText xml:space="preserve"> HYPERLINK \l _Toc16744_WPSOffice_Level1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85292a46-4e40-434b-8848-52d6fce46641}"/>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3.3 企业潜在的危险事故和分级</w:t>
              </w:r>
            </w:sdtContent>
          </w:sdt>
          <w:r>
            <w:tab/>
          </w:r>
          <w:bookmarkStart w:id="17" w:name="_Toc16744_WPSOffice_Level1Page"/>
          <w:r>
            <w:t>13</w:t>
          </w:r>
          <w:bookmarkEnd w:id="17"/>
          <w:r>
            <w:fldChar w:fldCharType="end"/>
          </w:r>
        </w:p>
        <w:p>
          <w:pPr>
            <w:pStyle w:val="19"/>
            <w:tabs>
              <w:tab w:val="right" w:leader="dot" w:pos="8306"/>
            </w:tabs>
          </w:pPr>
          <w:r>
            <w:fldChar w:fldCharType="begin"/>
          </w:r>
          <w:r>
            <w:instrText xml:space="preserve"> HYPERLINK \l _Toc22189_WPSOffice_Level1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8067e8e-60a1-4af2-b214-40b947e15bb4}"/>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4环境应急组织机构与职责</w:t>
              </w:r>
            </w:sdtContent>
          </w:sdt>
          <w:r>
            <w:tab/>
          </w:r>
          <w:bookmarkStart w:id="18" w:name="_Toc22189_WPSOffice_Level1Page"/>
          <w:r>
            <w:t>14</w:t>
          </w:r>
          <w:bookmarkEnd w:id="18"/>
          <w:r>
            <w:fldChar w:fldCharType="end"/>
          </w:r>
        </w:p>
        <w:p>
          <w:pPr>
            <w:pStyle w:val="19"/>
            <w:tabs>
              <w:tab w:val="right" w:leader="dot" w:pos="8306"/>
            </w:tabs>
          </w:pPr>
          <w:r>
            <w:fldChar w:fldCharType="begin"/>
          </w:r>
          <w:r>
            <w:instrText xml:space="preserve"> HYPERLINK \l _Toc27569_WPSOffice_Level1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2eb3825b-f283-44d2-b12c-41434538f382}"/>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4.1 环境应急工作领导小组职责及组成人员</w:t>
              </w:r>
            </w:sdtContent>
          </w:sdt>
          <w:r>
            <w:tab/>
          </w:r>
          <w:bookmarkStart w:id="19" w:name="_Toc27569_WPSOffice_Level1Page"/>
          <w:r>
            <w:t>14</w:t>
          </w:r>
          <w:bookmarkEnd w:id="19"/>
          <w:r>
            <w:fldChar w:fldCharType="end"/>
          </w:r>
        </w:p>
        <w:p>
          <w:pPr>
            <w:pStyle w:val="19"/>
            <w:tabs>
              <w:tab w:val="right" w:leader="dot" w:pos="8306"/>
            </w:tabs>
          </w:pPr>
          <w:r>
            <w:fldChar w:fldCharType="begin"/>
          </w:r>
          <w:r>
            <w:instrText xml:space="preserve"> HYPERLINK \l _Toc12353_WPSOffice_Level1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c6f44d06-132c-499c-87a5-eb484cfd880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4.2 环境应急工作组职责及组成人员</w:t>
              </w:r>
            </w:sdtContent>
          </w:sdt>
          <w:r>
            <w:tab/>
          </w:r>
          <w:bookmarkStart w:id="20" w:name="_Toc12353_WPSOffice_Level1Page"/>
          <w:r>
            <w:t>16</w:t>
          </w:r>
          <w:bookmarkEnd w:id="20"/>
          <w:r>
            <w:fldChar w:fldCharType="end"/>
          </w:r>
        </w:p>
        <w:p>
          <w:pPr>
            <w:pStyle w:val="19"/>
            <w:tabs>
              <w:tab w:val="right" w:leader="dot" w:pos="8306"/>
            </w:tabs>
          </w:pPr>
          <w:r>
            <w:fldChar w:fldCharType="begin"/>
          </w:r>
          <w:r>
            <w:instrText xml:space="preserve"> HYPERLINK \l _Toc29740_WPSOffice_Level1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601a7548-25cf-4f0e-bc0c-5bdfeddaf939}"/>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4.3 外部应急救援联系电话</w:t>
              </w:r>
            </w:sdtContent>
          </w:sdt>
          <w:r>
            <w:tab/>
          </w:r>
          <w:bookmarkStart w:id="21" w:name="_Toc29740_WPSOffice_Level1Page"/>
          <w:r>
            <w:t>18</w:t>
          </w:r>
          <w:bookmarkEnd w:id="21"/>
          <w:r>
            <w:fldChar w:fldCharType="end"/>
          </w:r>
        </w:p>
        <w:p>
          <w:pPr>
            <w:pStyle w:val="19"/>
            <w:tabs>
              <w:tab w:val="right" w:leader="dot" w:pos="8306"/>
            </w:tabs>
          </w:pPr>
          <w:r>
            <w:fldChar w:fldCharType="begin"/>
          </w:r>
          <w:r>
            <w:instrText xml:space="preserve"> HYPERLINK \l _Toc24138_WPSOffice_Level1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2f6bedf7-68a8-4d12-8eab-e14c77fbcf35}"/>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5保障措施</w:t>
              </w:r>
            </w:sdtContent>
          </w:sdt>
          <w:r>
            <w:tab/>
          </w:r>
          <w:bookmarkStart w:id="22" w:name="_Toc24138_WPSOffice_Level1Page"/>
          <w:r>
            <w:t>18</w:t>
          </w:r>
          <w:bookmarkEnd w:id="22"/>
          <w:r>
            <w:fldChar w:fldCharType="end"/>
          </w:r>
        </w:p>
        <w:p>
          <w:pPr>
            <w:pStyle w:val="19"/>
            <w:tabs>
              <w:tab w:val="right" w:leader="dot" w:pos="8306"/>
            </w:tabs>
          </w:pPr>
          <w:r>
            <w:fldChar w:fldCharType="begin"/>
          </w:r>
          <w:r>
            <w:instrText xml:space="preserve"> HYPERLINK \l _Toc32322_WPSOffice_Level1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d1090738-8e8f-4cd8-824e-087e09876d6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5.1 通讯与信息保障</w:t>
              </w:r>
            </w:sdtContent>
          </w:sdt>
          <w:r>
            <w:tab/>
          </w:r>
          <w:bookmarkStart w:id="23" w:name="_Toc32322_WPSOffice_Level1Page"/>
          <w:r>
            <w:t>18</w:t>
          </w:r>
          <w:bookmarkEnd w:id="23"/>
          <w:r>
            <w:fldChar w:fldCharType="end"/>
          </w:r>
        </w:p>
        <w:p>
          <w:pPr>
            <w:pStyle w:val="19"/>
            <w:tabs>
              <w:tab w:val="right" w:leader="dot" w:pos="8306"/>
            </w:tabs>
          </w:pPr>
          <w:r>
            <w:fldChar w:fldCharType="begin"/>
          </w:r>
          <w:r>
            <w:instrText xml:space="preserve"> HYPERLINK \l _Toc17298_WPSOffice_Level1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429b4035-5fb6-49ff-b321-2ad9abc5335c}"/>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5.2 人力资源及技术保障</w:t>
              </w:r>
            </w:sdtContent>
          </w:sdt>
          <w:r>
            <w:tab/>
          </w:r>
          <w:bookmarkStart w:id="24" w:name="_Toc17298_WPSOffice_Level1Page"/>
          <w:r>
            <w:t>19</w:t>
          </w:r>
          <w:bookmarkEnd w:id="24"/>
          <w:r>
            <w:fldChar w:fldCharType="end"/>
          </w:r>
        </w:p>
        <w:p>
          <w:pPr>
            <w:pStyle w:val="19"/>
            <w:tabs>
              <w:tab w:val="right" w:leader="dot" w:pos="8306"/>
            </w:tabs>
          </w:pPr>
          <w:r>
            <w:fldChar w:fldCharType="begin"/>
          </w:r>
          <w:r>
            <w:instrText xml:space="preserve"> HYPERLINK \l _Toc871_WPSOffice_Level1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d874762e-683c-4dae-a273-1c24083e540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5.3物资装备保障</w:t>
              </w:r>
            </w:sdtContent>
          </w:sdt>
          <w:r>
            <w:tab/>
          </w:r>
          <w:bookmarkStart w:id="25" w:name="_Toc871_WPSOffice_Level1Page"/>
          <w:r>
            <w:t>19</w:t>
          </w:r>
          <w:bookmarkEnd w:id="25"/>
          <w:r>
            <w:fldChar w:fldCharType="end"/>
          </w:r>
        </w:p>
        <w:p>
          <w:pPr>
            <w:pStyle w:val="19"/>
            <w:tabs>
              <w:tab w:val="right" w:leader="dot" w:pos="8306"/>
            </w:tabs>
          </w:pPr>
          <w:r>
            <w:fldChar w:fldCharType="begin"/>
          </w:r>
          <w:r>
            <w:instrText xml:space="preserve"> HYPERLINK \l _Toc22090_WPSOffice_Level1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d90f66c7-660e-49df-8124-edc719e1d1c4}"/>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5.4宣传、培训和演习</w:t>
              </w:r>
            </w:sdtContent>
          </w:sdt>
          <w:r>
            <w:tab/>
          </w:r>
          <w:bookmarkStart w:id="26" w:name="_Toc22090_WPSOffice_Level1Page"/>
          <w:r>
            <w:t>21</w:t>
          </w:r>
          <w:bookmarkEnd w:id="26"/>
          <w:r>
            <w:fldChar w:fldCharType="end"/>
          </w:r>
        </w:p>
        <w:p>
          <w:pPr>
            <w:pStyle w:val="19"/>
            <w:tabs>
              <w:tab w:val="right" w:leader="dot" w:pos="8306"/>
            </w:tabs>
          </w:pPr>
          <w:r>
            <w:fldChar w:fldCharType="begin"/>
          </w:r>
          <w:r>
            <w:instrText xml:space="preserve"> HYPERLINK \l _Toc8554_WPSOffice_Level1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338ea4d-a730-4a3c-a4ef-d0028b275305}"/>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5.5 应急能力保障</w:t>
              </w:r>
            </w:sdtContent>
          </w:sdt>
          <w:r>
            <w:tab/>
          </w:r>
          <w:bookmarkStart w:id="27" w:name="_Toc8554_WPSOffice_Level1Page"/>
          <w:r>
            <w:t>21</w:t>
          </w:r>
          <w:bookmarkEnd w:id="27"/>
          <w:r>
            <w:fldChar w:fldCharType="end"/>
          </w:r>
        </w:p>
        <w:p>
          <w:pPr>
            <w:pStyle w:val="19"/>
            <w:tabs>
              <w:tab w:val="right" w:leader="dot" w:pos="8306"/>
            </w:tabs>
          </w:pPr>
          <w:r>
            <w:fldChar w:fldCharType="begin"/>
          </w:r>
          <w:r>
            <w:instrText xml:space="preserve"> HYPERLINK \l _Toc17373_WPSOffice_Level1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79fc8b54-a754-4aef-93b2-c6e2a0e3e38b}"/>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6预防和预警</w:t>
              </w:r>
            </w:sdtContent>
          </w:sdt>
          <w:r>
            <w:tab/>
          </w:r>
          <w:bookmarkStart w:id="28" w:name="_Toc17373_WPSOffice_Level1Page"/>
          <w:r>
            <w:t>22</w:t>
          </w:r>
          <w:bookmarkEnd w:id="28"/>
          <w:r>
            <w:fldChar w:fldCharType="end"/>
          </w:r>
        </w:p>
        <w:p>
          <w:pPr>
            <w:pStyle w:val="19"/>
            <w:tabs>
              <w:tab w:val="right" w:leader="dot" w:pos="8306"/>
            </w:tabs>
          </w:pPr>
          <w:r>
            <w:fldChar w:fldCharType="begin"/>
          </w:r>
          <w:r>
            <w:instrText xml:space="preserve"> HYPERLINK \l _Toc9087_WPSOffice_Level1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e8beb7eb-f1fb-4e4a-8f1a-3a2f21e8339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6.1 危险源预防</w:t>
              </w:r>
            </w:sdtContent>
          </w:sdt>
          <w:r>
            <w:tab/>
          </w:r>
          <w:bookmarkStart w:id="29" w:name="_Toc9087_WPSOffice_Level1Page"/>
          <w:r>
            <w:t>22</w:t>
          </w:r>
          <w:bookmarkEnd w:id="29"/>
          <w:r>
            <w:fldChar w:fldCharType="end"/>
          </w:r>
        </w:p>
        <w:p>
          <w:pPr>
            <w:pStyle w:val="19"/>
            <w:tabs>
              <w:tab w:val="right" w:leader="dot" w:pos="8306"/>
            </w:tabs>
          </w:pPr>
          <w:r>
            <w:fldChar w:fldCharType="begin"/>
          </w:r>
          <w:r>
            <w:instrText xml:space="preserve"> HYPERLINK \l _Toc30809_WPSOffice_Level1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3338dbf3-e0a1-48a0-a859-f87829fa782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6.2预警行动</w:t>
              </w:r>
            </w:sdtContent>
          </w:sdt>
          <w:r>
            <w:tab/>
          </w:r>
          <w:bookmarkStart w:id="30" w:name="_Toc30809_WPSOffice_Level1Page"/>
          <w:r>
            <w:t>23</w:t>
          </w:r>
          <w:bookmarkEnd w:id="30"/>
          <w:r>
            <w:fldChar w:fldCharType="end"/>
          </w:r>
        </w:p>
        <w:p>
          <w:pPr>
            <w:pStyle w:val="19"/>
            <w:tabs>
              <w:tab w:val="right" w:leader="dot" w:pos="8306"/>
            </w:tabs>
          </w:pPr>
          <w:r>
            <w:fldChar w:fldCharType="begin"/>
          </w:r>
          <w:r>
            <w:instrText xml:space="preserve"> HYPERLINK \l _Toc1144_WPSOffice_Level1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f1076671-2462-45b6-ba4c-294671caed9c}"/>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6.3 报警通讯</w:t>
              </w:r>
            </w:sdtContent>
          </w:sdt>
          <w:r>
            <w:tab/>
          </w:r>
          <w:bookmarkStart w:id="31" w:name="_Toc1144_WPSOffice_Level1Page"/>
          <w:r>
            <w:t>26</w:t>
          </w:r>
          <w:bookmarkEnd w:id="31"/>
          <w:r>
            <w:fldChar w:fldCharType="end"/>
          </w:r>
        </w:p>
        <w:p>
          <w:pPr>
            <w:pStyle w:val="19"/>
            <w:tabs>
              <w:tab w:val="right" w:leader="dot" w:pos="8306"/>
            </w:tabs>
          </w:pPr>
          <w:r>
            <w:fldChar w:fldCharType="begin"/>
          </w:r>
          <w:r>
            <w:instrText xml:space="preserve"> HYPERLINK \l _Toc20034_WPSOffice_Level1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8d74b58f-a94d-43ef-b6b6-de1f6160bc17}"/>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7应急响应</w:t>
              </w:r>
            </w:sdtContent>
          </w:sdt>
          <w:r>
            <w:tab/>
          </w:r>
          <w:bookmarkStart w:id="32" w:name="_Toc20034_WPSOffice_Level1Page"/>
          <w:r>
            <w:t>26</w:t>
          </w:r>
          <w:bookmarkEnd w:id="32"/>
          <w:r>
            <w:fldChar w:fldCharType="end"/>
          </w:r>
        </w:p>
        <w:p>
          <w:pPr>
            <w:pStyle w:val="19"/>
            <w:tabs>
              <w:tab w:val="right" w:leader="dot" w:pos="8306"/>
            </w:tabs>
          </w:pPr>
          <w:r>
            <w:fldChar w:fldCharType="begin"/>
          </w:r>
          <w:r>
            <w:instrText xml:space="preserve"> HYPERLINK \l _Toc15328_WPSOffice_Level1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b603269-dec3-4d99-badd-c3c9ead2431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7.1 响应分级</w:t>
              </w:r>
            </w:sdtContent>
          </w:sdt>
          <w:r>
            <w:tab/>
          </w:r>
          <w:bookmarkStart w:id="33" w:name="_Toc15328_WPSOffice_Level1Page"/>
          <w:r>
            <w:t>26</w:t>
          </w:r>
          <w:bookmarkEnd w:id="33"/>
          <w:r>
            <w:fldChar w:fldCharType="end"/>
          </w:r>
        </w:p>
        <w:p>
          <w:pPr>
            <w:pStyle w:val="19"/>
            <w:tabs>
              <w:tab w:val="right" w:leader="dot" w:pos="8306"/>
            </w:tabs>
          </w:pPr>
          <w:r>
            <w:fldChar w:fldCharType="begin"/>
          </w:r>
          <w:r>
            <w:instrText xml:space="preserve"> HYPERLINK \l _Toc4548_WPSOffice_Level1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44daad74-ace4-49c2-bd9f-7f8f99592044}"/>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7.2 应急程序</w:t>
              </w:r>
            </w:sdtContent>
          </w:sdt>
          <w:r>
            <w:tab/>
          </w:r>
          <w:bookmarkStart w:id="34" w:name="_Toc4548_WPSOffice_Level1Page"/>
          <w:r>
            <w:t>27</w:t>
          </w:r>
          <w:bookmarkEnd w:id="34"/>
          <w:r>
            <w:fldChar w:fldCharType="end"/>
          </w:r>
        </w:p>
        <w:p>
          <w:pPr>
            <w:pStyle w:val="19"/>
            <w:tabs>
              <w:tab w:val="right" w:leader="dot" w:pos="8306"/>
            </w:tabs>
          </w:pPr>
          <w:r>
            <w:fldChar w:fldCharType="begin"/>
          </w:r>
          <w:r>
            <w:instrText xml:space="preserve"> HYPERLINK \l _Toc29909_WPSOffice_Level1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ec1b59a9-66bb-4e69-8fe8-fc767c921d2c}"/>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7.3 应急救援</w:t>
              </w:r>
            </w:sdtContent>
          </w:sdt>
          <w:r>
            <w:tab/>
          </w:r>
          <w:bookmarkStart w:id="35" w:name="_Toc29909_WPSOffice_Level1Page"/>
          <w:r>
            <w:t>28</w:t>
          </w:r>
          <w:bookmarkEnd w:id="35"/>
          <w:r>
            <w:fldChar w:fldCharType="end"/>
          </w:r>
        </w:p>
        <w:p>
          <w:pPr>
            <w:pStyle w:val="19"/>
            <w:tabs>
              <w:tab w:val="right" w:leader="dot" w:pos="8306"/>
            </w:tabs>
          </w:pPr>
          <w:r>
            <w:fldChar w:fldCharType="begin"/>
          </w:r>
          <w:r>
            <w:instrText xml:space="preserve"> HYPERLINK \l _Toc6809_WPSOffice_Level1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9ecfe12-5f25-4290-ab40-4409a832e4e7}"/>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7.4 应急监测</w:t>
              </w:r>
            </w:sdtContent>
          </w:sdt>
          <w:r>
            <w:tab/>
          </w:r>
          <w:bookmarkStart w:id="36" w:name="_Toc6809_WPSOffice_Level1Page"/>
          <w:r>
            <w:t>36</w:t>
          </w:r>
          <w:bookmarkEnd w:id="36"/>
          <w:r>
            <w:fldChar w:fldCharType="end"/>
          </w:r>
        </w:p>
        <w:p>
          <w:pPr>
            <w:pStyle w:val="19"/>
            <w:tabs>
              <w:tab w:val="right" w:leader="dot" w:pos="8306"/>
            </w:tabs>
          </w:pPr>
          <w:r>
            <w:fldChar w:fldCharType="begin"/>
          </w:r>
          <w:r>
            <w:instrText xml:space="preserve"> HYPERLINK \l _Toc1240_WPSOffice_Level1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3770ca14-116b-4ab9-95a2-1cae1fadf5b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7.5 信息发布</w:t>
              </w:r>
            </w:sdtContent>
          </w:sdt>
          <w:r>
            <w:tab/>
          </w:r>
          <w:bookmarkStart w:id="37" w:name="_Toc1240_WPSOffice_Level1Page"/>
          <w:r>
            <w:t>37</w:t>
          </w:r>
          <w:bookmarkEnd w:id="37"/>
          <w:r>
            <w:fldChar w:fldCharType="end"/>
          </w:r>
        </w:p>
        <w:p>
          <w:pPr>
            <w:pStyle w:val="19"/>
            <w:tabs>
              <w:tab w:val="right" w:leader="dot" w:pos="8306"/>
            </w:tabs>
          </w:pPr>
          <w:r>
            <w:fldChar w:fldCharType="begin"/>
          </w:r>
          <w:r>
            <w:instrText xml:space="preserve"> HYPERLINK \l _Toc6701_WPSOffice_Level1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2375d8f9-0d02-4455-80ed-fd0eba3f82a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7.6 应急结束</w:t>
              </w:r>
            </w:sdtContent>
          </w:sdt>
          <w:r>
            <w:tab/>
          </w:r>
          <w:bookmarkStart w:id="38" w:name="_Toc6701_WPSOffice_Level1Page"/>
          <w:r>
            <w:t>37</w:t>
          </w:r>
          <w:bookmarkEnd w:id="38"/>
          <w:r>
            <w:fldChar w:fldCharType="end"/>
          </w:r>
        </w:p>
        <w:p>
          <w:pPr>
            <w:pStyle w:val="19"/>
            <w:tabs>
              <w:tab w:val="right" w:leader="dot" w:pos="8306"/>
            </w:tabs>
          </w:pPr>
          <w:r>
            <w:fldChar w:fldCharType="begin"/>
          </w:r>
          <w:r>
            <w:instrText xml:space="preserve"> HYPERLINK \l _Toc27111_WPSOffice_Level1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1b99cf4c-76a4-439f-9079-827e001ec8f2}"/>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8后期处置</w:t>
              </w:r>
            </w:sdtContent>
          </w:sdt>
          <w:r>
            <w:tab/>
          </w:r>
          <w:bookmarkStart w:id="39" w:name="_Toc27111_WPSOffice_Level1Page"/>
          <w:r>
            <w:t>38</w:t>
          </w:r>
          <w:bookmarkEnd w:id="39"/>
          <w:r>
            <w:fldChar w:fldCharType="end"/>
          </w:r>
        </w:p>
        <w:p>
          <w:pPr>
            <w:pStyle w:val="19"/>
            <w:tabs>
              <w:tab w:val="right" w:leader="dot" w:pos="8306"/>
            </w:tabs>
          </w:pPr>
          <w:r>
            <w:fldChar w:fldCharType="begin"/>
          </w:r>
          <w:r>
            <w:instrText xml:space="preserve"> HYPERLINK \l _Toc26557_WPSOffice_Level1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1932cc6-ea36-48f7-b8e6-6bec7d3f1cd2}"/>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8.1 人员安置及损失赔偿</w:t>
              </w:r>
            </w:sdtContent>
          </w:sdt>
          <w:r>
            <w:tab/>
          </w:r>
          <w:bookmarkStart w:id="40" w:name="_Toc26557_WPSOffice_Level1Page"/>
          <w:r>
            <w:t>38</w:t>
          </w:r>
          <w:bookmarkEnd w:id="40"/>
          <w:r>
            <w:fldChar w:fldCharType="end"/>
          </w:r>
        </w:p>
        <w:p>
          <w:pPr>
            <w:pStyle w:val="19"/>
            <w:tabs>
              <w:tab w:val="right" w:leader="dot" w:pos="8306"/>
            </w:tabs>
          </w:pPr>
          <w:r>
            <w:fldChar w:fldCharType="begin"/>
          </w:r>
          <w:r>
            <w:instrText xml:space="preserve"> HYPERLINK \l _Toc4765_WPSOffice_Level1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9748e850-98b2-4e4f-b111-fceeb25c07fa}"/>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8.2 生态环境恢复</w:t>
              </w:r>
            </w:sdtContent>
          </w:sdt>
          <w:r>
            <w:tab/>
          </w:r>
          <w:bookmarkStart w:id="41" w:name="_Toc4765_WPSOffice_Level1Page"/>
          <w:r>
            <w:t>39</w:t>
          </w:r>
          <w:bookmarkEnd w:id="41"/>
          <w:r>
            <w:fldChar w:fldCharType="end"/>
          </w:r>
        </w:p>
        <w:p>
          <w:pPr>
            <w:pStyle w:val="19"/>
            <w:tabs>
              <w:tab w:val="right" w:leader="dot" w:pos="8306"/>
            </w:tabs>
          </w:pPr>
          <w:r>
            <w:fldChar w:fldCharType="begin"/>
          </w:r>
          <w:r>
            <w:instrText xml:space="preserve"> HYPERLINK \l _Toc8834_WPSOffice_Level1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f2e2068-d6d2-4942-a8dc-fd23823c054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8.3 事故调查报告和经验教训总结及改进建议</w:t>
              </w:r>
            </w:sdtContent>
          </w:sdt>
          <w:r>
            <w:tab/>
          </w:r>
          <w:bookmarkStart w:id="42" w:name="_Toc8834_WPSOffice_Level1Page"/>
          <w:r>
            <w:t>39</w:t>
          </w:r>
          <w:bookmarkEnd w:id="42"/>
          <w:r>
            <w:fldChar w:fldCharType="end"/>
          </w:r>
        </w:p>
        <w:p>
          <w:pPr>
            <w:pStyle w:val="19"/>
            <w:tabs>
              <w:tab w:val="right" w:leader="dot" w:pos="8306"/>
            </w:tabs>
          </w:pPr>
          <w:r>
            <w:fldChar w:fldCharType="begin"/>
          </w:r>
          <w:r>
            <w:instrText xml:space="preserve"> HYPERLINK \l _Toc2100_WPSOffice_Level1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cd56cb1b-9bcc-4671-ad4e-97fdf6864395}"/>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9应急培训和演习</w:t>
              </w:r>
            </w:sdtContent>
          </w:sdt>
          <w:r>
            <w:tab/>
          </w:r>
          <w:bookmarkStart w:id="43" w:name="_Toc2100_WPSOffice_Level1Page"/>
          <w:r>
            <w:t>40</w:t>
          </w:r>
          <w:bookmarkEnd w:id="43"/>
          <w:r>
            <w:fldChar w:fldCharType="end"/>
          </w:r>
        </w:p>
        <w:p>
          <w:pPr>
            <w:pStyle w:val="19"/>
            <w:tabs>
              <w:tab w:val="right" w:leader="dot" w:pos="8306"/>
            </w:tabs>
          </w:pPr>
          <w:r>
            <w:fldChar w:fldCharType="begin"/>
          </w:r>
          <w:r>
            <w:instrText xml:space="preserve"> HYPERLINK \l _Toc554_WPSOffice_Level1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477b8959-cb80-4736-9506-eb6087afef8e}"/>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9.1 原则、目的、作用及范围</w:t>
              </w:r>
            </w:sdtContent>
          </w:sdt>
          <w:r>
            <w:tab/>
          </w:r>
          <w:bookmarkStart w:id="44" w:name="_Toc554_WPSOffice_Level1Page"/>
          <w:r>
            <w:t>40</w:t>
          </w:r>
          <w:bookmarkEnd w:id="44"/>
          <w:r>
            <w:fldChar w:fldCharType="end"/>
          </w:r>
        </w:p>
        <w:p>
          <w:pPr>
            <w:pStyle w:val="19"/>
            <w:tabs>
              <w:tab w:val="right" w:leader="dot" w:pos="8306"/>
            </w:tabs>
          </w:pPr>
          <w:r>
            <w:fldChar w:fldCharType="begin"/>
          </w:r>
          <w:r>
            <w:instrText xml:space="preserve"> HYPERLINK \l _Toc4498_WPSOffice_Level1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b262e21d-dba7-48f0-a5da-aacb06a0dc01}"/>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9.2 应急培训的基本内容</w:t>
              </w:r>
            </w:sdtContent>
          </w:sdt>
          <w:r>
            <w:tab/>
          </w:r>
          <w:bookmarkStart w:id="45" w:name="_Toc4498_WPSOffice_Level1Page"/>
          <w:r>
            <w:t>42</w:t>
          </w:r>
          <w:bookmarkEnd w:id="45"/>
          <w:r>
            <w:fldChar w:fldCharType="end"/>
          </w:r>
        </w:p>
        <w:p>
          <w:pPr>
            <w:pStyle w:val="19"/>
            <w:tabs>
              <w:tab w:val="right" w:leader="dot" w:pos="8306"/>
            </w:tabs>
          </w:pPr>
          <w:r>
            <w:fldChar w:fldCharType="begin"/>
          </w:r>
          <w:r>
            <w:instrText xml:space="preserve"> HYPERLINK \l _Toc12336_WPSOffice_Level1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35e0e694-fe63-4b56-9cbc-60f22ab0bac8}"/>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9.3 应急演习分类</w:t>
              </w:r>
            </w:sdtContent>
          </w:sdt>
          <w:r>
            <w:tab/>
          </w:r>
          <w:bookmarkStart w:id="46" w:name="_Toc12336_WPSOffice_Level1Page"/>
          <w:r>
            <w:t>42</w:t>
          </w:r>
          <w:bookmarkEnd w:id="46"/>
          <w:r>
            <w:fldChar w:fldCharType="end"/>
          </w:r>
        </w:p>
        <w:p>
          <w:pPr>
            <w:pStyle w:val="19"/>
            <w:tabs>
              <w:tab w:val="right" w:leader="dot" w:pos="8306"/>
            </w:tabs>
          </w:pPr>
          <w:r>
            <w:fldChar w:fldCharType="begin"/>
          </w:r>
          <w:r>
            <w:instrText xml:space="preserve"> HYPERLINK \l _Toc24523_WPSOffice_Level1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a65b8ff5-5b12-4bf3-b265-39d5fd0e91f4}"/>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10附  则</w:t>
              </w:r>
            </w:sdtContent>
          </w:sdt>
          <w:r>
            <w:tab/>
          </w:r>
          <w:bookmarkStart w:id="47" w:name="_Toc24523_WPSOffice_Level1Page"/>
          <w:r>
            <w:t>43</w:t>
          </w:r>
          <w:bookmarkEnd w:id="47"/>
          <w:r>
            <w:fldChar w:fldCharType="end"/>
          </w:r>
        </w:p>
        <w:p>
          <w:pPr>
            <w:pStyle w:val="19"/>
            <w:tabs>
              <w:tab w:val="right" w:leader="dot" w:pos="8306"/>
            </w:tabs>
          </w:pPr>
          <w:r>
            <w:fldChar w:fldCharType="begin"/>
          </w:r>
          <w:r>
            <w:instrText xml:space="preserve"> HYPERLINK \l _Toc6347_WPSOffice_Level1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c8cde09c-511d-458a-bda5-0dff6ac960f3}"/>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10.1 预案管理与更新</w:t>
              </w:r>
            </w:sdtContent>
          </w:sdt>
          <w:r>
            <w:tab/>
          </w:r>
          <w:bookmarkStart w:id="48" w:name="_Toc6347_WPSOffice_Level1Page"/>
          <w:r>
            <w:t>43</w:t>
          </w:r>
          <w:bookmarkEnd w:id="48"/>
          <w:r>
            <w:fldChar w:fldCharType="end"/>
          </w:r>
        </w:p>
        <w:p>
          <w:pPr>
            <w:pStyle w:val="19"/>
            <w:tabs>
              <w:tab w:val="right" w:leader="dot" w:pos="8306"/>
            </w:tabs>
          </w:pPr>
          <w:r>
            <w:fldChar w:fldCharType="begin"/>
          </w:r>
          <w:r>
            <w:instrText xml:space="preserve"> HYPERLINK \l _Toc6086_WPSOffice_Level1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fbd9064f-c125-4d73-8737-95ab035b903b}"/>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10.2 地方沟通与协作</w:t>
              </w:r>
            </w:sdtContent>
          </w:sdt>
          <w:r>
            <w:tab/>
          </w:r>
          <w:bookmarkStart w:id="49" w:name="_Toc6086_WPSOffice_Level1Page"/>
          <w:r>
            <w:t>43</w:t>
          </w:r>
          <w:bookmarkEnd w:id="49"/>
          <w:r>
            <w:fldChar w:fldCharType="end"/>
          </w:r>
        </w:p>
        <w:p>
          <w:pPr>
            <w:pStyle w:val="19"/>
            <w:tabs>
              <w:tab w:val="right" w:leader="dot" w:pos="8306"/>
            </w:tabs>
          </w:pPr>
          <w:r>
            <w:fldChar w:fldCharType="begin"/>
          </w:r>
          <w:r>
            <w:instrText xml:space="preserve"> HYPERLINK \l _Toc22675_WPSOffice_Level1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7921def-21cf-4cc7-a578-cd5167a60a6b}"/>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10.3 奖励与责任追究</w:t>
              </w:r>
            </w:sdtContent>
          </w:sdt>
          <w:r>
            <w:tab/>
          </w:r>
          <w:bookmarkStart w:id="50" w:name="_Toc22675_WPSOffice_Level1Page"/>
          <w:r>
            <w:t>43</w:t>
          </w:r>
          <w:bookmarkEnd w:id="50"/>
          <w:r>
            <w:fldChar w:fldCharType="end"/>
          </w:r>
        </w:p>
        <w:p>
          <w:pPr>
            <w:pStyle w:val="19"/>
            <w:tabs>
              <w:tab w:val="right" w:leader="dot" w:pos="8306"/>
            </w:tabs>
          </w:pPr>
          <w:r>
            <w:fldChar w:fldCharType="begin"/>
          </w:r>
          <w:r>
            <w:instrText xml:space="preserve"> HYPERLINK \l _Toc27104_WPSOffice_Level1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58efebd4-bedb-4f64-9f37-4322952e8b15}"/>
              </w:placeholder>
            </w:sdtPr>
            <w:sdtEndPr>
              <w:rPr>
                <w:rFonts w:ascii="Arial" w:hAnsi="Arial" w:eastAsia="宋体" w:cs="Times New Roman"/>
                <w:bCs/>
                <w:kern w:val="2"/>
                <w:sz w:val="28"/>
                <w:szCs w:val="32"/>
                <w:lang w:val="en-US" w:eastAsia="zh-CN" w:bidi="ar-SA"/>
              </w:rPr>
            </w:sdtEndPr>
            <w:sdtContent>
              <w:r>
                <w:rPr>
                  <w:rFonts w:hint="eastAsia" w:ascii="Arial" w:hAnsi="Arial" w:eastAsia="宋体" w:cs="Times New Roman"/>
                </w:rPr>
                <w:t>10.4 预案实施时间</w:t>
              </w:r>
            </w:sdtContent>
          </w:sdt>
          <w:r>
            <w:tab/>
          </w:r>
          <w:bookmarkStart w:id="51" w:name="_Toc27104_WPSOffice_Level1Page"/>
          <w:r>
            <w:t>44</w:t>
          </w:r>
          <w:bookmarkEnd w:id="51"/>
          <w:r>
            <w:fldChar w:fldCharType="end"/>
          </w:r>
        </w:p>
        <w:p>
          <w:pPr>
            <w:pStyle w:val="19"/>
            <w:tabs>
              <w:tab w:val="right" w:leader="dot" w:pos="8306"/>
            </w:tabs>
          </w:pPr>
          <w:r>
            <w:fldChar w:fldCharType="begin"/>
          </w:r>
          <w:r>
            <w:instrText xml:space="preserve"> HYPERLINK \l _Toc21517_WPSOffice_Level1 </w:instrText>
          </w:r>
          <w:r>
            <w:fldChar w:fldCharType="separate"/>
          </w:r>
          <w:sdt>
            <w:sdtPr>
              <w:rPr>
                <w:rFonts w:ascii="Arial" w:hAnsi="Arial" w:eastAsia="宋体" w:cs="Times New Roman"/>
                <w:bCs/>
                <w:kern w:val="2"/>
                <w:sz w:val="28"/>
                <w:szCs w:val="32"/>
                <w:lang w:val="en-US" w:eastAsia="zh-CN" w:bidi="ar-SA"/>
              </w:rPr>
              <w:id w:val="147454170"/>
              <w:placeholder>
                <w:docPart w:val="{6a50479d-1194-4aef-8446-8c28fef7b8de}"/>
              </w:placeholder>
            </w:sdtPr>
            <w:sdtEndPr>
              <w:rPr>
                <w:rFonts w:ascii="Arial" w:hAnsi="Arial" w:eastAsia="宋体" w:cs="Times New Roman"/>
                <w:bCs/>
                <w:kern w:val="2"/>
                <w:sz w:val="28"/>
                <w:szCs w:val="32"/>
                <w:lang w:val="en-US" w:eastAsia="zh-CN" w:bidi="ar-SA"/>
              </w:rPr>
            </w:sdtEndPr>
            <w:sdtContent>
              <w:r>
                <w:rPr>
                  <w:rFonts w:hint="eastAsia" w:ascii="Times New Roman" w:hAnsi="Times New Roman" w:eastAsia="宋体" w:cs="Times New Roman"/>
                </w:rPr>
                <w:t>11附件</w:t>
              </w:r>
            </w:sdtContent>
          </w:sdt>
          <w:r>
            <w:tab/>
          </w:r>
          <w:bookmarkStart w:id="52" w:name="_Toc21517_WPSOffice_Level1Page"/>
          <w:r>
            <w:t>44</w:t>
          </w:r>
          <w:bookmarkEnd w:id="52"/>
          <w:r>
            <w:fldChar w:fldCharType="end"/>
          </w:r>
          <w:bookmarkEnd w:id="0"/>
        </w:p>
      </w:sdtContent>
    </w:sdt>
    <w:p>
      <w:pPr>
        <w:pStyle w:val="3"/>
        <w:rPr>
          <w:rFonts w:hint="eastAsia"/>
        </w:rPr>
      </w:pPr>
    </w:p>
    <w:p>
      <w:pPr>
        <w:pStyle w:val="3"/>
        <w:rPr>
          <w:rFonts w:hint="eastAsia"/>
        </w:rPr>
      </w:pPr>
    </w:p>
    <w:p>
      <w:pPr>
        <w:pStyle w:val="19"/>
        <w:rPr>
          <w:rFonts w:hint="eastAsia"/>
        </w:rPr>
      </w:pPr>
    </w:p>
    <w:p>
      <w:pPr>
        <w:pStyle w:val="3"/>
        <w:rPr>
          <w:rFonts w:hint="eastAsia"/>
        </w:rPr>
      </w:pPr>
    </w:p>
    <w:p>
      <w:pPr>
        <w:pStyle w:val="3"/>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3"/>
        <w:rPr>
          <w:rFonts w:hint="eastAsia"/>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4"/>
          <w:szCs w:val="24"/>
          <w:lang w:val="en-US" w:eastAsia="zh-CN"/>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1总  则</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3" w:name="_Toc6103_WPSOffice_Level1"/>
      <w:r>
        <w:rPr>
          <w:rFonts w:hint="eastAsia"/>
          <w:b w:val="0"/>
          <w:bCs w:val="0"/>
          <w:sz w:val="24"/>
          <w:szCs w:val="24"/>
        </w:rPr>
        <w:t>1.1 编制背景和目的</w:t>
      </w:r>
      <w:bookmarkEnd w:id="53"/>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1.1.1 编制背景</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城市污水处理厂作为城市主要的公用基础工程，一旦发生事故风险，可能会造成下游河流断面水质急剧变差，污水处理厂因故障无法运行，将严重影响城市功能的正常运转。</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1.1.2 编制目的</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文登污水处理厂接纳的污水全部来文登城区的生活污水和部分企业的工业废水。在生产过程中如果有不稳定因素波动或者特殊事故发生，都有可能引起系运行不稳定或者出水超标甚至停产，将导致环境污染事故。为此，针对污水处理厂进出水水质超标、暴极端天气因素引发的自然灾害对设备设施、构筑物破坏长时间急暴雨造成污水厂水质超标以及化学药品泄漏事件，根据污水厂生产特点，营运特性，特组织编制《文登创业水务有限公司突发环境事件应急预案》，编制了本应急预案，在事故中，将环境、经济以及生命损失降至最低。</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4" w:name="_Toc29162_WPSOffice_Level1"/>
      <w:r>
        <w:rPr>
          <w:rFonts w:hint="eastAsia"/>
          <w:b w:val="0"/>
          <w:bCs w:val="0"/>
          <w:sz w:val="24"/>
          <w:szCs w:val="24"/>
        </w:rPr>
        <w:t>1.2 编制依据</w:t>
      </w:r>
      <w:bookmarkEnd w:id="5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中华人民共和国安全生产法》有关规定，以“加强安全生产监督管理，防止和减少生产安全事故，保障人民群众生命和财产安全，促进经济发展”为原则，进一步贯彻落实“安全第一、预防为主、综合治理”的方针，以及国家各项安全法律法规、制度和标准，促进文登创业水务有限公司（以下简称公司）的发展，特制定本应急预案。</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5" w:name="_Toc10129_WPSOffice_Level1"/>
      <w:r>
        <w:rPr>
          <w:rFonts w:hint="eastAsia"/>
          <w:b w:val="0"/>
          <w:bCs w:val="0"/>
          <w:sz w:val="24"/>
          <w:szCs w:val="24"/>
        </w:rPr>
        <w:t>1.3 适用范围</w:t>
      </w:r>
      <w:bookmarkEnd w:id="5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本应急预案适用于本污水厂区域内可能发生或者已经发生的，需要由企业负责处置或者参与处置的重大、较大、一般突发环境事件的应对工作。具体包括：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（1）生产过程中由于进水水质严重超标、长时间停水、停电、设备故障等突发事件造成城市污水处理厂出水严重不达标的污染事故;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 xml:space="preserve">（2）暴雨、高温、低寒、雷击等气象因素引发的自然灾害对设备设施、构筑物破坏导致污水超标排放环境危险;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（3）原辅材料、产品的储存、使用所产生的环境危险；</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6" w:name="_Toc6570_WPSOffice_Level1"/>
      <w:r>
        <w:rPr>
          <w:rFonts w:hint="eastAsia"/>
          <w:b w:val="0"/>
          <w:bCs w:val="0"/>
          <w:sz w:val="24"/>
          <w:szCs w:val="24"/>
        </w:rPr>
        <w:t>1.4 事件分级</w:t>
      </w:r>
      <w:bookmarkEnd w:id="56"/>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按照突发环境污染事故的严重性和紧急程度分级。分为特别重大环境事件（Ⅰ级）、重大环境事件（Ⅱ级）、较大环境事件（Ⅲ级）和一般环境事件（Ⅳ级）四级。</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7" w:name="_Toc20321_WPSOffice_Level1"/>
      <w:r>
        <w:rPr>
          <w:rFonts w:hint="eastAsia"/>
          <w:b w:val="0"/>
          <w:bCs w:val="0"/>
          <w:sz w:val="24"/>
          <w:szCs w:val="24"/>
        </w:rPr>
        <w:t>1.5 工作原则</w:t>
      </w:r>
      <w:bookmarkEnd w:id="57"/>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需要保证运行正常，一旦长时间停产，用于污水处理厂的微生物将大量窒息死亡，正常的生产工艺过程遭到破坏，必须花费一定的时间对微生物进行培养和驯化，从而造成较大经济损失并导致大量污水直排，直接威胁外部生态环境，所以污水处理厂应急预案所提措施应遵循以下前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（1）加强运行管理，保证污水处理厂运行正常，禁止污水直排。</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（2）及时掌握污水处理厂供电信息保证正常电力供应，完善电力设施管理，保证双回路供电正常运行。</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（3）加强污水处理设施的日常维护，避免故障的发生。</w:t>
      </w:r>
    </w:p>
    <w:p>
      <w:pPr>
        <w:pStyle w:val="2"/>
        <w:pageBreakBefore w:val="0"/>
        <w:widowControl w:val="0"/>
        <w:kinsoku/>
        <w:wordWrap/>
        <w:overflowPunct/>
        <w:topLinePunct w:val="0"/>
        <w:autoSpaceDE/>
        <w:autoSpaceDN/>
        <w:bidi w:val="0"/>
        <w:adjustRightInd/>
        <w:snapToGrid/>
        <w:spacing w:line="360" w:lineRule="auto"/>
        <w:textAlignment w:val="auto"/>
        <w:rPr>
          <w:rFonts w:hint="eastAsia" w:hAnsi="宋体" w:asciiTheme="minorHAnsi" w:eastAsiaTheme="minorEastAsia" w:cstheme="minorBidi"/>
          <w:b w:val="0"/>
          <w:bCs w:val="0"/>
          <w:kern w:val="2"/>
          <w:sz w:val="24"/>
          <w:szCs w:val="24"/>
          <w:lang w:val="en-US" w:eastAsia="zh-CN" w:bidi="ar-SA"/>
        </w:rPr>
      </w:pPr>
      <w:bookmarkStart w:id="58" w:name="_Toc31401_WPSOffice_Level1"/>
      <w:r>
        <w:rPr>
          <w:rFonts w:hint="eastAsia" w:hAnsi="宋体" w:asciiTheme="minorHAnsi" w:eastAsiaTheme="minorEastAsia" w:cstheme="minorBidi"/>
          <w:b w:val="0"/>
          <w:bCs w:val="0"/>
          <w:kern w:val="2"/>
          <w:sz w:val="24"/>
          <w:szCs w:val="24"/>
          <w:lang w:val="en-US" w:eastAsia="zh-CN" w:bidi="ar-SA"/>
        </w:rPr>
        <w:t>2基本情况调查</w:t>
      </w:r>
      <w:bookmarkEnd w:id="58"/>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59" w:name="_Toc572_WPSOffice_Level1"/>
      <w:r>
        <w:rPr>
          <w:rFonts w:hint="eastAsia"/>
          <w:b w:val="0"/>
          <w:bCs w:val="0"/>
          <w:sz w:val="24"/>
          <w:szCs w:val="24"/>
        </w:rPr>
        <w:t>2.1 企业概况</w:t>
      </w:r>
      <w:bookmarkEnd w:id="59"/>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文登创业水务有限公司成立于2007年4月24日，注册资本为人民币5200万元，为天津创业环保集团股份有限公司全资子公司。2007年12月，文登公司与文登市建设局签订特许经营协议，以TOT模式运营原文登市污水处理厂，项目总投资为1.2亿元人民币，特许经营期限为30年。 2008年1月文登创业水务有限公司正式运营文登污水处理厂。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文登污水处理厂设计处理能力8万吨/日。一期工程始建于1995年11月，2000年7月正式投入运行，采用奥贝尔氧化沟工艺，设计日处理能力为3万吨。二期改扩建工程于2004年动工建设，2008年8月正式投入运行，采用卡鲁赛尔氧化沟工艺，设计日处理能力为5万吨。升级改造工程于2014年7月动工建设，2015年1月正式投入运行，新建反硝化滤池、微絮凝滤池、紫外消毒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目前，污水处理系统运行稳定，出水（COD、BOD、氨氮、SS、TP、TN等）指标均达到《城镇污水处理厂污染物排放标准》（GB18918-2002）一级A排放标准，出水达标率100%。</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0" w:name="_Toc17199_WPSOffice_Level1"/>
      <w:r>
        <w:rPr>
          <w:rFonts w:hint="eastAsia"/>
          <w:b w:val="0"/>
          <w:bCs w:val="0"/>
          <w:sz w:val="24"/>
          <w:szCs w:val="24"/>
        </w:rPr>
        <w:t>2.2 企业周围的自然环境及社会环境</w:t>
      </w:r>
      <w:bookmarkEnd w:id="60"/>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2.2.1 自然环境</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（1）气候及气象</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文登市地处北半球中纬度季风区内，属暖温带东亚季风区域大陆性气候，春季风大雨少，空气干燥，夏季温热多雨，秋季凉爽，时有连绵雨，冬季较长，雪大干冷，土壤平均冰冻深度30~40厘米，最大冰冻深度50厘米。文登市年平均气温为11.4℃，气温最低月份多在一月份，平均气温为-3.2℃。多年平均降雨量为660.4毫米，降雨量多集中在七、八、九三个月份，年相对湿度在70%~80%之间，与降雨量相反，年平均蒸发量为1554.9毫米，比降雨量多一倍多，蒸发量最大的春季，最小在冬季。</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（2）地质水文</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文登市在区域地质构造上属胶东隆起区，属新华夏第二隆起带的构造部分。地质由太古界，中生界、新生界组成，主要地质构造有“文登背斜”，母猪河大断裂、虎口山至宋村断裂等。市区大部分坐落在冲积平原和台地上，岩性为粘土和亚粘土，地级承载力一般在大于1.5千克/平方厘米。</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2.2.2 主要环境保护目标</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主要保护目标：东母猪河位于污水厂北50米，为地表水重点保护目标。</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1" w:name="_Toc23938_WPSOffice_Level1"/>
      <w:r>
        <w:rPr>
          <w:rFonts w:hint="eastAsia"/>
          <w:b w:val="0"/>
          <w:bCs w:val="0"/>
          <w:sz w:val="24"/>
          <w:szCs w:val="24"/>
        </w:rPr>
        <w:t>2.3 企业生产现状</w:t>
      </w:r>
      <w:bookmarkEnd w:id="61"/>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2.3.1 主要化学药剂及能源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企业在污水处理和剩余污泥处理需要的化学药剂主要包括：聚丙烯酰胺、乙酸钠、聚合氯化铝。现对涉及到的化学药剂的化学性质与危害分析如下：</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ascii="宋体" w:hAnsi="宋体" w:eastAsia="宋体" w:cs="宋体"/>
          <w:b w:val="0"/>
          <w:bCs w:val="0"/>
          <w:sz w:val="24"/>
          <w:szCs w:val="24"/>
          <w:lang w:val="en-US" w:eastAsia="zh-CN"/>
        </w:rPr>
        <w:t>(1)</w:t>
      </w:r>
      <w:r>
        <w:rPr>
          <w:rFonts w:hint="eastAsia" w:hAnsi="宋体"/>
          <w:b w:val="0"/>
          <w:bCs w:val="0"/>
          <w:sz w:val="24"/>
          <w:szCs w:val="24"/>
        </w:rPr>
        <w:t>聚丙烯酰胺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聚丙烯酰胺（PAM）为水溶性高分子聚合物，外观为白色粒状固体，稀释后呈无色液体，无臭，pH值6.0--7.0，不溶于大多数有机溶剂，具有良好的絮凝性，可以降低液体之间的磨擦阻力。在污水处理厂作为污泥脱水剂。聚丙烯酰胺无毒性，但属于易燃性化学药剂，燃烧后不产生任何有害燃烧产物。当聚丙烯酰胺泄漏时，颗粒遇水后变滑，人员滑倒摔伤。当与眼睛和身体接触时，用流动清水或生理盐水冲洗即可。生产时工厂需要安全淋浴、洗眼设备和化学安全防护眼镜。储存注意事项：储存于阴凉、通风的库房。</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lang w:val="en-US" w:eastAsia="zh-CN"/>
        </w:rPr>
        <w:t>(2)</w:t>
      </w:r>
      <w:r>
        <w:rPr>
          <w:rFonts w:hint="eastAsia" w:hAnsi="宋体"/>
          <w:b w:val="0"/>
          <w:bCs w:val="0"/>
          <w:sz w:val="24"/>
          <w:szCs w:val="24"/>
        </w:rPr>
        <w:t>聚合氯化铝</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聚合氯化铝具有一定的酸性腐蚀性，对皮肤、粘膜有刺激作用，吸入高浓度可引起支气管炎，个别人可引起支气管哮喘，如长期接触可引起头疼、头晕、食欲减退、咳嗽、鼻塞、胸痛等症状。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泄漏应急处理：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 xml:space="preserve">应急处理：迅速撤离泄漏污染区人员至安全区，并进行隔离，严格限制出入。应急处理人员戴自吸过滤式口罩，戴化学安全防护眼镜，戴橡胶耐酸碱手套。也可以用大量水冲洗，洗水稀释后放入废水系统。 </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lang w:val="en-US" w:eastAsia="zh-CN"/>
        </w:rPr>
        <w:t>(3)</w:t>
      </w:r>
      <w:r>
        <w:rPr>
          <w:rFonts w:hint="eastAsia" w:hAnsi="宋体"/>
          <w:b w:val="0"/>
          <w:bCs w:val="0"/>
          <w:sz w:val="24"/>
          <w:szCs w:val="24"/>
        </w:rPr>
        <w:t>乙酸钠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乙酸钠无毒，非可燃性物质。吸入会轻微刺激口中粘膜；皮肤接触会由轻微刺激性；食入，会造成胃肠的疾病；眼睛接触，轻微的刺激性。</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　</w:t>
      </w:r>
      <w:r>
        <w:rPr>
          <w:rFonts w:hint="eastAsia" w:hAnsi="宋体"/>
          <w:b w:val="0"/>
          <w:bCs w:val="0"/>
          <w:sz w:val="24"/>
          <w:szCs w:val="24"/>
          <w:lang w:val="en-US" w:eastAsia="zh-CN"/>
        </w:rPr>
        <w:t xml:space="preserve"> </w:t>
      </w:r>
      <w:r>
        <w:rPr>
          <w:rFonts w:hint="eastAsia" w:hAnsi="宋体"/>
          <w:b w:val="0"/>
          <w:bCs w:val="0"/>
          <w:sz w:val="24"/>
          <w:szCs w:val="24"/>
        </w:rPr>
        <w:t xml:space="preserve">泄漏应急处理：迅速撤离泄漏污染区人员至安全区，并进行隔离，严格限制出入。应急处理人员戴过滤式口罩，戴化学安全防护眼镜，戴橡胶耐酸碱手套。也可以用大量水冲洗，洗水稀释后放入废水系统。 </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2" w:name="_Toc2672_WPSOffice_Level1"/>
      <w:r>
        <w:rPr>
          <w:rFonts w:hint="eastAsia"/>
          <w:b w:val="0"/>
          <w:bCs w:val="0"/>
          <w:sz w:val="24"/>
          <w:szCs w:val="24"/>
        </w:rPr>
        <w:t>2.4 主要产品及规模</w:t>
      </w:r>
      <w:bookmarkEnd w:id="6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lang w:eastAsia="zh-CN"/>
        </w:rPr>
        <w:t>文登污水处理厂</w:t>
      </w:r>
      <w:r>
        <w:rPr>
          <w:rFonts w:hint="eastAsia" w:hAnsi="宋体"/>
          <w:b w:val="0"/>
          <w:bCs w:val="0"/>
          <w:sz w:val="24"/>
          <w:szCs w:val="24"/>
        </w:rPr>
        <w:t>设计处理能力为8万m3/天。主要污染物种类COD、BOD、氨氮、SS、TP等（见下表）。</w:t>
      </w:r>
    </w:p>
    <w:tbl>
      <w:tblPr>
        <w:tblStyle w:val="10"/>
        <w:tblW w:w="858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1"/>
        <w:gridCol w:w="1228"/>
        <w:gridCol w:w="1228"/>
        <w:gridCol w:w="1228"/>
        <w:gridCol w:w="1226"/>
        <w:gridCol w:w="1226"/>
        <w:gridCol w:w="12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23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项目</w:t>
            </w:r>
          </w:p>
        </w:tc>
        <w:tc>
          <w:tcPr>
            <w:tcW w:w="1228"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CODcr</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BOD5</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SS</w:t>
            </w:r>
          </w:p>
        </w:tc>
        <w:tc>
          <w:tcPr>
            <w:tcW w:w="1226"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NH3-N</w:t>
            </w:r>
          </w:p>
        </w:tc>
        <w:tc>
          <w:tcPr>
            <w:tcW w:w="1226"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TN</w:t>
            </w:r>
          </w:p>
        </w:tc>
        <w:tc>
          <w:tcPr>
            <w:tcW w:w="122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23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进水</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500</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150</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300</w:t>
            </w:r>
          </w:p>
        </w:tc>
        <w:tc>
          <w:tcPr>
            <w:tcW w:w="1226"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45</w:t>
            </w:r>
          </w:p>
        </w:tc>
        <w:tc>
          <w:tcPr>
            <w:tcW w:w="1226"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70</w:t>
            </w:r>
          </w:p>
        </w:tc>
        <w:tc>
          <w:tcPr>
            <w:tcW w:w="122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23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出水</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50</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10</w:t>
            </w:r>
          </w:p>
        </w:tc>
        <w:tc>
          <w:tcPr>
            <w:tcW w:w="1228"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10</w:t>
            </w:r>
          </w:p>
        </w:tc>
        <w:tc>
          <w:tcPr>
            <w:tcW w:w="1226"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5（8）</w:t>
            </w:r>
          </w:p>
        </w:tc>
        <w:tc>
          <w:tcPr>
            <w:tcW w:w="1226"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15</w:t>
            </w:r>
          </w:p>
        </w:tc>
        <w:tc>
          <w:tcPr>
            <w:tcW w:w="1221"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0.5</w:t>
            </w:r>
          </w:p>
        </w:tc>
      </w:tr>
    </w:tbl>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3" w:name="_Toc5541_WPSOffice_Level1"/>
      <w:r>
        <w:rPr>
          <w:rFonts w:hint="eastAsia"/>
          <w:b w:val="0"/>
          <w:bCs w:val="0"/>
          <w:sz w:val="24"/>
          <w:szCs w:val="24"/>
        </w:rPr>
        <w:t>2.5污水处理工艺流程</w:t>
      </w:r>
      <w:bookmarkEnd w:id="63"/>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b w:val="0"/>
          <w:bCs w:val="0"/>
          <w:sz w:val="24"/>
          <w:szCs w:val="24"/>
          <w:lang w:val="en-US" w:eastAsia="zh-CN"/>
        </w:rPr>
        <w:fldChar w:fldCharType="begin"/>
      </w:r>
      <w:r>
        <w:rPr>
          <w:rFonts w:hint="eastAsia"/>
          <w:b w:val="0"/>
          <w:bCs w:val="0"/>
          <w:sz w:val="24"/>
          <w:szCs w:val="24"/>
          <w:lang w:val="en-US" w:eastAsia="zh-CN"/>
        </w:rPr>
        <w:instrText xml:space="preserve">INCLUDEPICTURE \d "C:\\Users\\Administrator\\AppData\\Roaming\\Tencent\\Users\\184584013\\QQ\\WinTemp\\RichOle\\DPT%H7{XIACV@KKR1)AISEM.png" \* MERGEFORMATINET </w:instrText>
      </w:r>
      <w:r>
        <w:rPr>
          <w:rFonts w:hint="eastAsia"/>
          <w:b w:val="0"/>
          <w:bCs w:val="0"/>
          <w:sz w:val="24"/>
          <w:szCs w:val="24"/>
          <w:lang w:val="en-US" w:eastAsia="zh-CN"/>
        </w:rPr>
        <w:fldChar w:fldCharType="separate"/>
      </w:r>
      <w:r>
        <w:rPr>
          <w:rFonts w:hint="eastAsia"/>
          <w:b w:val="0"/>
          <w:bCs w:val="0"/>
          <w:sz w:val="24"/>
          <w:szCs w:val="24"/>
          <w:lang w:val="en-US" w:eastAsia="zh-CN"/>
        </w:rPr>
        <w:drawing>
          <wp:inline distT="0" distB="0" distL="114300" distR="114300">
            <wp:extent cx="5770880" cy="1973580"/>
            <wp:effectExtent l="0" t="0" r="1270"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770880" cy="1973580"/>
                    </a:xfrm>
                    <a:prstGeom prst="rect">
                      <a:avLst/>
                    </a:prstGeom>
                    <a:noFill/>
                    <a:ln w="9525">
                      <a:noFill/>
                    </a:ln>
                  </pic:spPr>
                </pic:pic>
              </a:graphicData>
            </a:graphic>
          </wp:inline>
        </w:drawing>
      </w:r>
      <w:r>
        <w:rPr>
          <w:rFonts w:hint="eastAsia"/>
          <w:b w:val="0"/>
          <w:bCs w:val="0"/>
          <w:sz w:val="24"/>
          <w:szCs w:val="24"/>
          <w:lang w:val="en-US" w:eastAsia="zh-CN"/>
        </w:rPr>
        <w:fldChar w:fldCharType="end"/>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4" w:name="_Toc27898_WPSOffice_Level1"/>
      <w:r>
        <w:rPr>
          <w:rFonts w:hint="eastAsia"/>
          <w:b w:val="0"/>
          <w:bCs w:val="0"/>
          <w:sz w:val="24"/>
          <w:szCs w:val="24"/>
        </w:rPr>
        <w:t>2.</w:t>
      </w:r>
      <w:r>
        <w:rPr>
          <w:rFonts w:hint="eastAsia"/>
          <w:b w:val="0"/>
          <w:bCs w:val="0"/>
          <w:sz w:val="24"/>
          <w:szCs w:val="24"/>
          <w:lang w:val="en-US" w:eastAsia="zh-CN"/>
        </w:rPr>
        <w:t>6</w:t>
      </w:r>
      <w:r>
        <w:rPr>
          <w:rFonts w:hint="eastAsia"/>
          <w:b w:val="0"/>
          <w:bCs w:val="0"/>
          <w:sz w:val="24"/>
          <w:szCs w:val="24"/>
        </w:rPr>
        <w:t>污染物产生情况及环保措施</w:t>
      </w:r>
      <w:bookmarkEnd w:id="6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污水处理厂是改善区域地表水环境质量的环保工程，对水质起到改善作用，但污水厂运行又会产生二次污染，对周围环境造成一定程度的影响，目前污水处理厂污染物排放分析如下：</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w:t>
      </w:r>
      <w:r>
        <w:rPr>
          <w:rFonts w:hint="eastAsia" w:hAnsi="宋体"/>
          <w:b w:val="0"/>
          <w:bCs w:val="0"/>
          <w:sz w:val="24"/>
          <w:szCs w:val="24"/>
          <w:lang w:val="en-US" w:eastAsia="zh-CN"/>
        </w:rPr>
        <w:t>6</w:t>
      </w:r>
      <w:r>
        <w:rPr>
          <w:rFonts w:hint="eastAsia" w:hAnsi="宋体"/>
          <w:b w:val="0"/>
          <w:bCs w:val="0"/>
          <w:sz w:val="24"/>
          <w:szCs w:val="24"/>
        </w:rPr>
        <w:t>.1 废水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污水处理厂废水主要为生产废水和少量办公生活区污水，该废水通过厂内污水管道系统汇入厂区粗格栅前集水池，与城市污水一并进入污水处理系统进行处理，能够满足《城镇污水处理厂污染物排放标准》一级</w:t>
      </w:r>
      <w:r>
        <w:rPr>
          <w:rFonts w:hint="eastAsia" w:hAnsi="宋体"/>
          <w:b w:val="0"/>
          <w:bCs w:val="0"/>
          <w:sz w:val="24"/>
          <w:szCs w:val="24"/>
          <w:lang w:val="en-US" w:eastAsia="zh-CN"/>
        </w:rPr>
        <w:t>A</w:t>
      </w:r>
      <w:r>
        <w:rPr>
          <w:rFonts w:hint="eastAsia" w:hAnsi="宋体"/>
          <w:b w:val="0"/>
          <w:bCs w:val="0"/>
          <w:sz w:val="24"/>
          <w:szCs w:val="24"/>
        </w:rPr>
        <w:t>标准达标排放。</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w:t>
      </w:r>
      <w:r>
        <w:rPr>
          <w:rFonts w:hint="eastAsia" w:hAnsi="宋体"/>
          <w:b w:val="0"/>
          <w:bCs w:val="0"/>
          <w:sz w:val="24"/>
          <w:szCs w:val="24"/>
          <w:lang w:val="en-US" w:eastAsia="zh-CN"/>
        </w:rPr>
        <w:t>6</w:t>
      </w:r>
      <w:r>
        <w:rPr>
          <w:rFonts w:hint="eastAsia" w:hAnsi="宋体"/>
          <w:b w:val="0"/>
          <w:bCs w:val="0"/>
          <w:sz w:val="24"/>
          <w:szCs w:val="24"/>
        </w:rPr>
        <w:t>.2 废气</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过程中会产生恶臭气体，其主要产生部位是格栅、氧化沟、沉淀池、污泥处理系统等工艺单元，导致恶臭气味的主要成份是H2S、NH3，属无组织排放。根据验收监测报告，厂界周边无组织浓排放浓度能够满足《城镇污水处理厂污染物排放标准》二级标准达标排放。</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w:t>
      </w:r>
      <w:r>
        <w:rPr>
          <w:rFonts w:hint="eastAsia" w:hAnsi="宋体"/>
          <w:b w:val="0"/>
          <w:bCs w:val="0"/>
          <w:sz w:val="24"/>
          <w:szCs w:val="24"/>
          <w:lang w:val="en-US" w:eastAsia="zh-CN"/>
        </w:rPr>
        <w:t>6</w:t>
      </w:r>
      <w:r>
        <w:rPr>
          <w:rFonts w:hint="eastAsia" w:hAnsi="宋体"/>
          <w:b w:val="0"/>
          <w:bCs w:val="0"/>
          <w:sz w:val="24"/>
          <w:szCs w:val="24"/>
        </w:rPr>
        <w:t>.3噪声源强及治理措施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b w:val="0"/>
          <w:bCs w:val="0"/>
          <w:sz w:val="24"/>
          <w:szCs w:val="24"/>
          <w:lang w:eastAsia="zh-CN"/>
        </w:rPr>
      </w:pPr>
      <w:r>
        <w:rPr>
          <w:rFonts w:hint="eastAsia" w:hAnsi="宋体"/>
          <w:b w:val="0"/>
          <w:bCs w:val="0"/>
          <w:sz w:val="24"/>
          <w:szCs w:val="24"/>
        </w:rPr>
        <w:t>污水处理厂的噪声源主要是曝气机、空压机及各种泵类，其主要噪声源性质、源强及处置措施</w:t>
      </w:r>
      <w:r>
        <w:rPr>
          <w:rFonts w:hint="eastAsia" w:hAnsi="宋体"/>
          <w:b w:val="0"/>
          <w:bCs w:val="0"/>
          <w:sz w:val="24"/>
          <w:szCs w:val="24"/>
          <w:lang w:eastAsia="zh-CN"/>
        </w:rPr>
        <w:t>：</w:t>
      </w:r>
    </w:p>
    <w:tbl>
      <w:tblPr>
        <w:tblStyle w:val="10"/>
        <w:tblpPr w:leftFromText="180" w:rightFromText="180" w:vertAnchor="text" w:horzAnchor="page" w:tblpX="1702" w:tblpY="453"/>
        <w:tblOverlap w:val="never"/>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2055"/>
        <w:gridCol w:w="1628"/>
        <w:gridCol w:w="2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2054"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lang w:val="zh-CN"/>
              </w:rPr>
            </w:pPr>
            <w:r>
              <w:rPr>
                <w:rFonts w:hint="eastAsia"/>
                <w:b w:val="0"/>
                <w:bCs w:val="0"/>
                <w:sz w:val="24"/>
                <w:szCs w:val="24"/>
                <w:lang w:val="zh-CN"/>
              </w:rPr>
              <w:t>构筑物</w:t>
            </w:r>
          </w:p>
        </w:tc>
        <w:tc>
          <w:tcPr>
            <w:tcW w:w="2055"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lang w:val="zh-CN"/>
              </w:rPr>
            </w:pPr>
            <w:r>
              <w:rPr>
                <w:rFonts w:hint="eastAsia"/>
                <w:b w:val="0"/>
                <w:bCs w:val="0"/>
                <w:sz w:val="24"/>
                <w:szCs w:val="24"/>
                <w:lang w:val="zh-CN"/>
              </w:rPr>
              <w:t>设备名称</w:t>
            </w:r>
          </w:p>
        </w:tc>
        <w:tc>
          <w:tcPr>
            <w:tcW w:w="1628" w:type="dxa"/>
            <w:vAlign w:val="center"/>
          </w:tcPr>
          <w:p>
            <w:pPr>
              <w:pageBreakBefore w:val="0"/>
              <w:widowControl w:val="0"/>
              <w:kinsoku/>
              <w:wordWrap/>
              <w:overflowPunct/>
              <w:topLinePunct w:val="0"/>
              <w:autoSpaceDE/>
              <w:autoSpaceDN/>
              <w:bidi w:val="0"/>
              <w:adjustRightInd/>
              <w:snapToGrid/>
              <w:spacing w:line="360" w:lineRule="auto"/>
              <w:jc w:val="both"/>
              <w:textAlignment w:val="auto"/>
              <w:rPr>
                <w:rFonts w:hint="eastAsia"/>
                <w:b w:val="0"/>
                <w:bCs w:val="0"/>
                <w:sz w:val="24"/>
                <w:szCs w:val="24"/>
                <w:lang w:val="zh-CN"/>
              </w:rPr>
            </w:pPr>
            <w:r>
              <w:rPr>
                <w:rFonts w:hint="eastAsia"/>
                <w:b w:val="0"/>
                <w:bCs w:val="0"/>
                <w:sz w:val="24"/>
                <w:szCs w:val="24"/>
                <w:lang w:val="zh-CN"/>
              </w:rPr>
              <w:t>数量(台)</w:t>
            </w:r>
          </w:p>
        </w:tc>
        <w:tc>
          <w:tcPr>
            <w:tcW w:w="2763"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lang w:val="zh-CN"/>
              </w:rPr>
            </w:pPr>
            <w:r>
              <w:rPr>
                <w:rFonts w:hint="eastAsia"/>
                <w:b w:val="0"/>
                <w:bCs w:val="0"/>
                <w:sz w:val="24"/>
                <w:szCs w:val="24"/>
                <w:lang w:val="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2054"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val="0"/>
                <w:bCs w:val="0"/>
                <w:sz w:val="24"/>
                <w:szCs w:val="24"/>
                <w:lang w:eastAsia="zh-CN"/>
              </w:rPr>
            </w:pPr>
            <w:r>
              <w:rPr>
                <w:rFonts w:hint="eastAsia"/>
                <w:b w:val="0"/>
                <w:bCs w:val="0"/>
                <w:sz w:val="24"/>
                <w:szCs w:val="24"/>
                <w:lang w:eastAsia="zh-CN"/>
              </w:rPr>
              <w:t>反硝化滤池</w:t>
            </w:r>
          </w:p>
        </w:tc>
        <w:tc>
          <w:tcPr>
            <w:tcW w:w="2055"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lang w:eastAsia="zh-CN"/>
              </w:rPr>
              <w:t>罗茨鼓风</w:t>
            </w:r>
            <w:r>
              <w:rPr>
                <w:rFonts w:hint="eastAsia"/>
                <w:b w:val="0"/>
                <w:bCs w:val="0"/>
                <w:sz w:val="24"/>
                <w:szCs w:val="24"/>
              </w:rPr>
              <w:t>机</w:t>
            </w:r>
          </w:p>
        </w:tc>
        <w:tc>
          <w:tcPr>
            <w:tcW w:w="1628"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rPr>
            </w:pPr>
            <w:r>
              <w:rPr>
                <w:rFonts w:hint="eastAsia"/>
                <w:b w:val="0"/>
                <w:bCs w:val="0"/>
                <w:sz w:val="24"/>
                <w:szCs w:val="24"/>
              </w:rPr>
              <w:t>2</w:t>
            </w:r>
          </w:p>
        </w:tc>
        <w:tc>
          <w:tcPr>
            <w:tcW w:w="2763"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eastAsia="宋体"/>
                <w:b w:val="0"/>
                <w:bCs w:val="0"/>
                <w:sz w:val="24"/>
                <w:szCs w:val="24"/>
                <w:lang w:val="en-US" w:eastAsia="zh-CN"/>
              </w:rPr>
            </w:pPr>
            <w:r>
              <w:rPr>
                <w:rFonts w:hint="eastAsia"/>
                <w:b w:val="0"/>
                <w:bCs w:val="0"/>
                <w:sz w:val="24"/>
                <w:szCs w:val="24"/>
                <w:lang w:val="zh-CN"/>
              </w:rPr>
              <w:t>隔音罩、消声器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054"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rPr>
            </w:pPr>
            <w:r>
              <w:rPr>
                <w:rFonts w:hint="eastAsia"/>
                <w:b w:val="0"/>
                <w:bCs w:val="0"/>
                <w:sz w:val="24"/>
                <w:szCs w:val="24"/>
                <w:lang w:val="zh-CN"/>
              </w:rPr>
              <w:t>污泥处理</w:t>
            </w:r>
          </w:p>
        </w:tc>
        <w:tc>
          <w:tcPr>
            <w:tcW w:w="2055"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val="0"/>
                <w:bCs w:val="0"/>
                <w:sz w:val="24"/>
                <w:szCs w:val="24"/>
                <w:lang w:eastAsia="zh-CN"/>
              </w:rPr>
            </w:pPr>
            <w:r>
              <w:rPr>
                <w:rFonts w:hint="eastAsia"/>
                <w:b w:val="0"/>
                <w:bCs w:val="0"/>
                <w:sz w:val="24"/>
                <w:szCs w:val="24"/>
                <w:lang w:eastAsia="zh-CN"/>
              </w:rPr>
              <w:t>离心脱水机</w:t>
            </w:r>
          </w:p>
        </w:tc>
        <w:tc>
          <w:tcPr>
            <w:tcW w:w="1628"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eastAsia="宋体"/>
                <w:b w:val="0"/>
                <w:bCs w:val="0"/>
                <w:sz w:val="24"/>
                <w:szCs w:val="24"/>
                <w:lang w:val="en-US" w:eastAsia="zh-CN"/>
              </w:rPr>
            </w:pPr>
            <w:r>
              <w:rPr>
                <w:rFonts w:hint="eastAsia"/>
                <w:b w:val="0"/>
                <w:bCs w:val="0"/>
                <w:sz w:val="24"/>
                <w:szCs w:val="24"/>
                <w:lang w:val="en-US" w:eastAsia="zh-CN"/>
              </w:rPr>
              <w:t>3</w:t>
            </w:r>
          </w:p>
        </w:tc>
        <w:tc>
          <w:tcPr>
            <w:tcW w:w="2763" w:type="dxa"/>
            <w:vAlign w:val="center"/>
          </w:tcPr>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lang w:val="zh-CN"/>
              </w:rPr>
            </w:pPr>
            <w:r>
              <w:rPr>
                <w:rFonts w:hint="eastAsia"/>
                <w:b w:val="0"/>
                <w:bCs w:val="0"/>
                <w:sz w:val="24"/>
                <w:szCs w:val="24"/>
                <w:lang w:val="zh-CN"/>
              </w:rPr>
              <w:t>隔音、减振、消声</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根据监测，污水处理厂各厂界昼、夜噪声均能满足GB12348-2008《工业企业厂界环境噪声排放标准》2类区标准达标排放。</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65" w:name="_Toc12113_WPSOffice_Level1"/>
      <w:r>
        <w:rPr>
          <w:rFonts w:hint="eastAsia"/>
          <w:b w:val="0"/>
          <w:bCs w:val="0"/>
          <w:sz w:val="24"/>
          <w:szCs w:val="24"/>
        </w:rPr>
        <w:t>2.</w:t>
      </w:r>
      <w:r>
        <w:rPr>
          <w:rFonts w:hint="eastAsia"/>
          <w:b w:val="0"/>
          <w:bCs w:val="0"/>
          <w:sz w:val="24"/>
          <w:szCs w:val="24"/>
          <w:lang w:val="en-US" w:eastAsia="zh-CN"/>
        </w:rPr>
        <w:t>7</w:t>
      </w:r>
      <w:r>
        <w:rPr>
          <w:rFonts w:hint="eastAsia" w:ascii="Times New Roman" w:hAnsi="宋体" w:eastAsia="宋体" w:cs="Times New Roman"/>
          <w:b w:val="0"/>
          <w:bCs w:val="0"/>
          <w:kern w:val="2"/>
          <w:sz w:val="24"/>
          <w:szCs w:val="24"/>
          <w:lang w:val="en-US" w:eastAsia="zh-CN" w:bidi="ar-SA"/>
        </w:rPr>
        <w:t>固体</w:t>
      </w:r>
      <w:r>
        <w:rPr>
          <w:rFonts w:hint="eastAsia"/>
          <w:b w:val="0"/>
          <w:bCs w:val="0"/>
          <w:sz w:val="24"/>
          <w:szCs w:val="24"/>
        </w:rPr>
        <w:t>废物</w:t>
      </w:r>
      <w:bookmarkEnd w:id="6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污水处理厂产生固废包括格栅截流的垃圾、沉砂池产生的泥砂及污水生化处理过程中产生的剩余污泥。经实测，污水厂固废产生及处置情况见表。</w:t>
      </w: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rPr>
      </w:pPr>
      <w:bookmarkStart w:id="66" w:name="_Toc25543_WPSOffice_Level1"/>
      <w:bookmarkStart w:id="67" w:name="_Toc20349_WPSOffice_Level1"/>
      <w:bookmarkStart w:id="68" w:name="_Toc121"/>
      <w:bookmarkStart w:id="69" w:name="_Toc5146_WPSOffice_Level2"/>
      <w:bookmarkStart w:id="70" w:name="_Toc6744_WPSOffice_Level1"/>
      <w:r>
        <w:rPr>
          <w:rFonts w:hint="eastAsia"/>
          <w:b w:val="0"/>
          <w:bCs w:val="0"/>
          <w:sz w:val="24"/>
          <w:szCs w:val="24"/>
        </w:rPr>
        <w:t>工程固体废物产生及处置措施情况一览表</w:t>
      </w:r>
      <w:bookmarkEnd w:id="66"/>
      <w:bookmarkEnd w:id="67"/>
      <w:bookmarkEnd w:id="68"/>
      <w:bookmarkEnd w:id="69"/>
      <w:bookmarkEnd w:id="70"/>
    </w:p>
    <w:tbl>
      <w:tblPr>
        <w:tblStyle w:val="10"/>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3043"/>
        <w:gridCol w:w="1779"/>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0" w:hRule="atLeast"/>
        </w:trPr>
        <w:tc>
          <w:tcPr>
            <w:tcW w:w="1779"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固废来源</w:t>
            </w:r>
          </w:p>
        </w:tc>
        <w:tc>
          <w:tcPr>
            <w:tcW w:w="3043" w:type="dxa"/>
            <w:vMerge w:val="restart"/>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zh-CN"/>
              </w:rPr>
            </w:pPr>
            <w:r>
              <w:rPr>
                <w:rFonts w:hint="eastAsia"/>
                <w:b w:val="0"/>
                <w:bCs w:val="0"/>
                <w:sz w:val="24"/>
                <w:szCs w:val="24"/>
                <w:lang w:val="zh-CN"/>
              </w:rPr>
              <w:t>主要成份</w:t>
            </w:r>
          </w:p>
        </w:tc>
        <w:tc>
          <w:tcPr>
            <w:tcW w:w="1779"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废物类别</w:t>
            </w:r>
          </w:p>
        </w:tc>
        <w:tc>
          <w:tcPr>
            <w:tcW w:w="1779"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rPr>
        <w:tc>
          <w:tcPr>
            <w:tcW w:w="1779"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zh-CN"/>
              </w:rPr>
            </w:pPr>
          </w:p>
        </w:tc>
        <w:tc>
          <w:tcPr>
            <w:tcW w:w="3043"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zh-CN"/>
              </w:rPr>
            </w:pPr>
          </w:p>
        </w:tc>
        <w:tc>
          <w:tcPr>
            <w:tcW w:w="1779"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zh-CN"/>
              </w:rPr>
            </w:pPr>
          </w:p>
        </w:tc>
        <w:tc>
          <w:tcPr>
            <w:tcW w:w="1779"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trPr>
        <w:tc>
          <w:tcPr>
            <w:tcW w:w="1779"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zh-CN"/>
              </w:rPr>
            </w:pPr>
            <w:r>
              <w:rPr>
                <w:rFonts w:hint="eastAsia"/>
                <w:b w:val="0"/>
                <w:bCs w:val="0"/>
                <w:sz w:val="24"/>
                <w:szCs w:val="24"/>
                <w:lang w:val="zh-CN"/>
              </w:rPr>
              <w:t>格栅</w:t>
            </w:r>
          </w:p>
        </w:tc>
        <w:tc>
          <w:tcPr>
            <w:tcW w:w="3043"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塑料、玻璃、生活杂物等</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一般固废Ⅰ类</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外运垃圾厂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2" w:hRule="atLeast"/>
        </w:trPr>
        <w:tc>
          <w:tcPr>
            <w:tcW w:w="1779"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lang w:val="zh-CN"/>
              </w:rPr>
              <w:t>沉砂池</w:t>
            </w:r>
          </w:p>
        </w:tc>
        <w:tc>
          <w:tcPr>
            <w:tcW w:w="3043"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lang w:val="zh-CN"/>
              </w:rPr>
              <w:t>不溶性泥砂</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一般固废Ⅰ类</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外运垃圾厂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7" w:hRule="atLeast"/>
        </w:trPr>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生物处理单元</w:t>
            </w:r>
          </w:p>
        </w:tc>
        <w:tc>
          <w:tcPr>
            <w:tcW w:w="3043"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剩余的活性污泥（含水80％）</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val="zh-CN"/>
              </w:rPr>
            </w:pPr>
            <w:r>
              <w:rPr>
                <w:rFonts w:hint="eastAsia"/>
                <w:b w:val="0"/>
                <w:bCs w:val="0"/>
                <w:sz w:val="24"/>
                <w:szCs w:val="24"/>
                <w:lang w:val="zh-CN"/>
              </w:rPr>
              <w:t>一般固废Ⅰ类</w:t>
            </w:r>
          </w:p>
        </w:tc>
        <w:tc>
          <w:tcPr>
            <w:tcW w:w="1779"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eastAsia="宋体"/>
                <w:b w:val="0"/>
                <w:bCs w:val="0"/>
                <w:sz w:val="24"/>
                <w:szCs w:val="24"/>
                <w:lang w:eastAsia="zh-CN"/>
              </w:rPr>
            </w:pPr>
            <w:r>
              <w:rPr>
                <w:rFonts w:hint="eastAsia"/>
                <w:b w:val="0"/>
                <w:bCs w:val="0"/>
                <w:sz w:val="24"/>
                <w:szCs w:val="24"/>
                <w:lang w:eastAsia="zh-CN"/>
              </w:rPr>
              <w:t>外运制肥</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污水处理厂产生固废包括格栅垃圾、沉砂池产生的泥砂及污水生化处理过程中产生的剩余污泥。脱水后污泥均送至山东安绿肥业有限公司进行制肥；垃圾均由城市</w:t>
      </w:r>
      <w:r>
        <w:rPr>
          <w:rFonts w:hint="eastAsia" w:hAnsi="宋体"/>
          <w:b w:val="0"/>
          <w:bCs w:val="0"/>
          <w:sz w:val="24"/>
          <w:szCs w:val="24"/>
          <w:lang w:eastAsia="zh-CN"/>
        </w:rPr>
        <w:t>环卫</w:t>
      </w:r>
      <w:r>
        <w:rPr>
          <w:rFonts w:hint="eastAsia" w:hAnsi="宋体"/>
          <w:b w:val="0"/>
          <w:bCs w:val="0"/>
          <w:sz w:val="24"/>
          <w:szCs w:val="24"/>
        </w:rPr>
        <w:t>部门收集，送至文登垃圾处理厂集中处理。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污水厂所产生的固体废物对环境影响轻微，不会造成土壤环境及下游水环境污染。</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71" w:name="_Toc13750_WPSOffice_Level1"/>
      <w:r>
        <w:rPr>
          <w:rFonts w:hint="eastAsia"/>
          <w:b w:val="0"/>
          <w:bCs w:val="0"/>
          <w:sz w:val="24"/>
          <w:szCs w:val="24"/>
        </w:rPr>
        <w:t>3环境危险性分析</w:t>
      </w:r>
      <w:bookmarkEnd w:id="71"/>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72" w:name="_Toc1782_WPSOffice_Level1"/>
      <w:r>
        <w:rPr>
          <w:rFonts w:hint="eastAsia"/>
          <w:b w:val="0"/>
          <w:bCs w:val="0"/>
          <w:sz w:val="24"/>
          <w:szCs w:val="24"/>
        </w:rPr>
        <w:t>3.1 环境危险源分析及危害</w:t>
      </w:r>
      <w:bookmarkEnd w:id="72"/>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3.1.1 危险源辨识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企业生产状况、产污排污情况、污染物危险程度、周围环境状况及环境保护目标要求，结合企业安全评价资料，对可能存在的环境危险源及危险因素进行分析，分别是：原辅材料、产品的储存、使用产生的环境危险；生产过程中由于进水超标、停电、设备故障等突发事件导致污水超标排放环境危险；暴雨、高温、低寒、雷击等气象因素引发的自然灾害对设备设施、构筑物破坏导致的环境危险。</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3.1.2 储存、使用及运输环节存在的环境危险性分析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b w:val="0"/>
          <w:bCs w:val="0"/>
          <w:sz w:val="24"/>
          <w:szCs w:val="24"/>
          <w:lang w:eastAsia="zh-CN"/>
        </w:rPr>
      </w:pPr>
      <w:r>
        <w:rPr>
          <w:rFonts w:hint="eastAsia" w:hAnsi="宋体"/>
          <w:b w:val="0"/>
          <w:bCs w:val="0"/>
          <w:sz w:val="24"/>
          <w:szCs w:val="24"/>
        </w:rPr>
        <w:t>本污水厂生产过程中所使用的化学药剂有：聚丙烯酰胺、乙酸钠和聚合氯化铝</w:t>
      </w:r>
      <w:r>
        <w:rPr>
          <w:rFonts w:hint="eastAsia" w:hAnsi="宋体"/>
          <w:b w:val="0"/>
          <w:bCs w:val="0"/>
          <w:sz w:val="24"/>
          <w:szCs w:val="24"/>
          <w:lang w:eastAsia="zh-CN"/>
        </w:rPr>
        <w:t>，</w:t>
      </w:r>
      <w:r>
        <w:rPr>
          <w:rFonts w:hint="eastAsia" w:hAnsi="宋体"/>
          <w:b w:val="0"/>
          <w:bCs w:val="0"/>
          <w:sz w:val="24"/>
          <w:szCs w:val="24"/>
        </w:rPr>
        <w:t>具体储存量见</w:t>
      </w:r>
      <w:r>
        <w:rPr>
          <w:rFonts w:hint="eastAsia" w:hAnsi="宋体"/>
          <w:b w:val="0"/>
          <w:bCs w:val="0"/>
          <w:sz w:val="24"/>
          <w:szCs w:val="24"/>
          <w:lang w:eastAsia="zh-CN"/>
        </w:rPr>
        <w:t>下</w:t>
      </w:r>
      <w:r>
        <w:rPr>
          <w:rFonts w:hint="eastAsia" w:hAnsi="宋体"/>
          <w:b w:val="0"/>
          <w:bCs w:val="0"/>
          <w:sz w:val="24"/>
          <w:szCs w:val="24"/>
        </w:rPr>
        <w:t>表</w:t>
      </w:r>
      <w:r>
        <w:rPr>
          <w:rFonts w:hint="eastAsia" w:hAnsi="宋体"/>
          <w:b w:val="0"/>
          <w:bCs w:val="0"/>
          <w:sz w:val="24"/>
          <w:szCs w:val="24"/>
          <w:lang w:eastAsia="zh-CN"/>
        </w:rPr>
        <w:t>：</w:t>
      </w:r>
    </w:p>
    <w:p>
      <w:pPr>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4"/>
          <w:szCs w:val="24"/>
        </w:rPr>
      </w:pPr>
      <w:r>
        <w:rPr>
          <w:rFonts w:hint="eastAsia"/>
          <w:b w:val="0"/>
          <w:bCs w:val="0"/>
          <w:sz w:val="24"/>
          <w:szCs w:val="24"/>
        </w:rPr>
        <w:t>企业化学药剂储存情况汇总表</w:t>
      </w:r>
    </w:p>
    <w:tbl>
      <w:tblPr>
        <w:tblStyle w:val="10"/>
        <w:tblW w:w="9003"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640"/>
        <w:gridCol w:w="880"/>
        <w:gridCol w:w="1440"/>
        <w:gridCol w:w="41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3" w:hRule="atLeast"/>
          <w:tblHeader/>
          <w:jc w:val="center"/>
        </w:trPr>
        <w:tc>
          <w:tcPr>
            <w:tcW w:w="90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项目</w:t>
            </w:r>
          </w:p>
        </w:tc>
        <w:tc>
          <w:tcPr>
            <w:tcW w:w="164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名称</w:t>
            </w:r>
          </w:p>
        </w:tc>
        <w:tc>
          <w:tcPr>
            <w:tcW w:w="88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储存</w:t>
            </w:r>
          </w:p>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形式</w:t>
            </w:r>
          </w:p>
        </w:tc>
        <w:tc>
          <w:tcPr>
            <w:tcW w:w="144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最大储存量</w:t>
            </w:r>
          </w:p>
        </w:tc>
        <w:tc>
          <w:tcPr>
            <w:tcW w:w="4143"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危险源辨识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3" w:hRule="atLeast"/>
          <w:jc w:val="center"/>
        </w:trPr>
        <w:tc>
          <w:tcPr>
            <w:tcW w:w="900"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化学</w:t>
            </w:r>
          </w:p>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药剂</w:t>
            </w:r>
          </w:p>
        </w:tc>
        <w:tc>
          <w:tcPr>
            <w:tcW w:w="164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聚丙烯酰胺</w:t>
            </w:r>
          </w:p>
        </w:tc>
        <w:tc>
          <w:tcPr>
            <w:tcW w:w="88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仓库</w:t>
            </w:r>
          </w:p>
        </w:tc>
        <w:tc>
          <w:tcPr>
            <w:tcW w:w="1440"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2t</w:t>
            </w:r>
          </w:p>
        </w:tc>
        <w:tc>
          <w:tcPr>
            <w:tcW w:w="4143"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未列入危险化学品重大危险源名录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3" w:hRule="atLeast"/>
          <w:jc w:val="center"/>
        </w:trPr>
        <w:tc>
          <w:tcPr>
            <w:tcW w:w="900"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p>
        </w:tc>
        <w:tc>
          <w:tcPr>
            <w:tcW w:w="164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eastAsia="zh-CN"/>
              </w:rPr>
            </w:pPr>
            <w:r>
              <w:rPr>
                <w:rFonts w:hint="eastAsia"/>
                <w:b w:val="0"/>
                <w:bCs w:val="0"/>
                <w:sz w:val="24"/>
                <w:szCs w:val="24"/>
                <w:lang w:eastAsia="zh-CN"/>
              </w:rPr>
              <w:t>乙酸钠（</w:t>
            </w:r>
            <w:r>
              <w:rPr>
                <w:rFonts w:hint="eastAsia"/>
                <w:b w:val="0"/>
                <w:bCs w:val="0"/>
                <w:sz w:val="24"/>
                <w:szCs w:val="24"/>
                <w:lang w:val="en-US" w:eastAsia="zh-CN"/>
              </w:rPr>
              <w:t>25%</w:t>
            </w:r>
            <w:r>
              <w:rPr>
                <w:rFonts w:hint="eastAsia"/>
                <w:b w:val="0"/>
                <w:bCs w:val="0"/>
                <w:sz w:val="24"/>
                <w:szCs w:val="24"/>
                <w:lang w:eastAsia="zh-CN"/>
              </w:rPr>
              <w:t>）</w:t>
            </w:r>
          </w:p>
        </w:tc>
        <w:tc>
          <w:tcPr>
            <w:tcW w:w="88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储罐</w:t>
            </w:r>
          </w:p>
        </w:tc>
        <w:tc>
          <w:tcPr>
            <w:tcW w:w="1440"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60t</w:t>
            </w:r>
          </w:p>
        </w:tc>
        <w:tc>
          <w:tcPr>
            <w:tcW w:w="4143"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未列入危险化学品重大危险源名录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03" w:hRule="atLeast"/>
          <w:jc w:val="center"/>
        </w:trPr>
        <w:tc>
          <w:tcPr>
            <w:tcW w:w="900" w:type="dxa"/>
            <w:vMerge w:val="continue"/>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p>
        </w:tc>
        <w:tc>
          <w:tcPr>
            <w:tcW w:w="164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lang w:eastAsia="zh-CN"/>
              </w:rPr>
            </w:pPr>
            <w:r>
              <w:rPr>
                <w:rFonts w:hint="eastAsia"/>
                <w:b w:val="0"/>
                <w:bCs w:val="0"/>
                <w:sz w:val="24"/>
                <w:szCs w:val="24"/>
                <w:lang w:eastAsia="zh-CN"/>
              </w:rPr>
              <w:t>聚合氯化铝（</w:t>
            </w:r>
            <w:r>
              <w:rPr>
                <w:rFonts w:hint="eastAsia"/>
                <w:b w:val="0"/>
                <w:bCs w:val="0"/>
                <w:sz w:val="24"/>
                <w:szCs w:val="24"/>
                <w:lang w:val="en-US" w:eastAsia="zh-CN"/>
              </w:rPr>
              <w:t>12%</w:t>
            </w:r>
            <w:r>
              <w:rPr>
                <w:rFonts w:hint="eastAsia"/>
                <w:b w:val="0"/>
                <w:bCs w:val="0"/>
                <w:sz w:val="24"/>
                <w:szCs w:val="24"/>
                <w:lang w:eastAsia="zh-CN"/>
              </w:rPr>
              <w:t>）</w:t>
            </w:r>
          </w:p>
        </w:tc>
        <w:tc>
          <w:tcPr>
            <w:tcW w:w="880"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储罐</w:t>
            </w:r>
          </w:p>
        </w:tc>
        <w:tc>
          <w:tcPr>
            <w:tcW w:w="1440" w:type="dxa"/>
            <w:vAlign w:val="center"/>
          </w:tcPr>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60t</w:t>
            </w:r>
          </w:p>
        </w:tc>
        <w:tc>
          <w:tcPr>
            <w:tcW w:w="4143"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未列入危险化学品重大危险源名录</w:t>
            </w:r>
          </w:p>
        </w:tc>
      </w:tr>
    </w:tbl>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本污水厂的化学药剂有多项危险化学品，存在着腐蚀、中毒等危险因素，在储存、使用及运输过程中，一旦环境条件发生变化或操作不当，都会造成不同程度的环境危害，造成环境事件。根据目前本污水厂的生产、储存及运输现状，分析如下：</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（1）聚丙烯酰胺储存中的环境危险性分析：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聚丙烯酰胺无毒性，易燃，但燃烧后不产生任何有害燃烧产物。储存聚丙烯酰胺的仓库位于厂区西北角，与维修间合建。一旦储存过程中由于意外事故发生火灾，其产生的高温热量会引燃仓库和维修间，造成火灾。但由于仓库位于污水厂一角，即使发生火灾也不会引发整个污水厂的火灾。</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（2）乙酸钠储存中的环境危险性分析：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乙酸钠无毒，非可燃性物质。吸入会轻微刺激口中粘膜；皮肤接触会由轻微刺激性；食入，会造成胃肠的疾病；眼睛接触，轻微的刺激性。将储存容器密闭，移至户外或隔离的通风场所，置于阴凉干燥的地方，并远离一般作业场所及不相容物，做好标记。</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（3）聚合氯化铝储存中的环境危险性分析：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聚合氯化铝具有吸附、凝聚、沉淀等性能，其稳定性差，有腐蚀性、强刺激性、可致人体灼伤，对皮肤、粘膜有刺激作用，长期接触可引起头疼、头晕，食欲不振，咳嗽，鼻塞，胸痛等症状，吸入高浓度聚合氯化铝可引起支气管炎，个别人可引起支气管哮喘，如果说误服量大时，可引起口腔糜烂、胃炎、胃出血和粘膜坏死，如不慎溅到皮肤上要立即用水冲洗干净。</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3.1.3生产过程中由于进水超标、长时间停水、停电、设备故障等突发事件导致污水超标排放环境危险性分析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污水处理厂是城市重要的基础公用设施，</w:t>
      </w:r>
      <w:r>
        <w:rPr>
          <w:rFonts w:hint="eastAsia" w:hAnsi="宋体"/>
          <w:b w:val="0"/>
          <w:bCs w:val="0"/>
          <w:sz w:val="24"/>
          <w:szCs w:val="24"/>
          <w:lang w:eastAsia="zh-CN"/>
        </w:rPr>
        <w:t>公司</w:t>
      </w:r>
      <w:r>
        <w:rPr>
          <w:rFonts w:hint="eastAsia" w:hAnsi="宋体"/>
          <w:b w:val="0"/>
          <w:bCs w:val="0"/>
          <w:sz w:val="24"/>
          <w:szCs w:val="24"/>
        </w:rPr>
        <w:t>下游为母猪河，污水处理厂运行过程中突发事故会导致处理效率下降或污水处理厂无法工作，使大量污水下泄，对地表水环境造成影响。</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根据污水厂生产工艺分析，废水处理过程中存在的环境危险和危害主要有以下几种。</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（1）长时间停水造成的环境危险性分析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城市污水排水干网破裂，导致污水厂废水进水量大幅减少，引起微生物死亡，在通水恢复后，细菌无法及时恢复，导致污水处理厂在一定时间内无法达到设计处理效率，从而造成污水超标排放。</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（2）计划停电及临时停电造成的环境危险性分析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区域计划停电或临时停电导致污水处理厂设备停止运行，尤其长时间停产事故，设备无法运行，污水在调节池内满溢后直接排放，导致废水超标排放。</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（3）污水处理厂发生故障造成的环境危险：</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主要是污水处理厂设备发生故障或设备大修而无备用设备，或备用设备无法启用，将导致进</w:t>
      </w:r>
      <w:r>
        <w:rPr>
          <w:rFonts w:hint="eastAsia" w:hAnsi="宋体"/>
          <w:b w:val="0"/>
          <w:bCs w:val="0"/>
          <w:sz w:val="24"/>
          <w:szCs w:val="24"/>
          <w:lang w:eastAsia="zh-CN"/>
        </w:rPr>
        <w:t>厂</w:t>
      </w:r>
      <w:r>
        <w:rPr>
          <w:rFonts w:hint="eastAsia" w:hAnsi="宋体"/>
          <w:b w:val="0"/>
          <w:bCs w:val="0"/>
          <w:sz w:val="24"/>
          <w:szCs w:val="24"/>
        </w:rPr>
        <w:t>废水得不到处理从而引起超标排放，处理水池管道渗漏、堵塞也会引起污水超标排放的环境风险。</w:t>
      </w:r>
    </w:p>
    <w:p>
      <w:pPr>
        <w:pStyle w:val="2"/>
        <w:pageBreakBefore w:val="0"/>
        <w:widowControl w:val="0"/>
        <w:kinsoku/>
        <w:wordWrap/>
        <w:overflowPunct/>
        <w:topLinePunct w:val="0"/>
        <w:autoSpaceDE/>
        <w:autoSpaceDN/>
        <w:bidi w:val="0"/>
        <w:adjustRightInd/>
        <w:snapToGrid/>
        <w:spacing w:line="360" w:lineRule="auto"/>
        <w:textAlignment w:val="auto"/>
        <w:rPr>
          <w:rFonts w:hint="eastAsia" w:hAnsi="宋体" w:asciiTheme="minorHAnsi" w:eastAsiaTheme="minorEastAsia" w:cstheme="minorBidi"/>
          <w:b w:val="0"/>
          <w:bCs w:val="0"/>
          <w:kern w:val="2"/>
          <w:sz w:val="24"/>
          <w:szCs w:val="24"/>
          <w:lang w:val="en-US" w:eastAsia="zh-CN" w:bidi="ar-SA"/>
        </w:rPr>
      </w:pPr>
      <w:r>
        <w:rPr>
          <w:rFonts w:hint="eastAsia" w:hAnsi="宋体" w:asciiTheme="minorHAnsi" w:eastAsiaTheme="minorEastAsia" w:cstheme="minorBidi"/>
          <w:b w:val="0"/>
          <w:bCs w:val="0"/>
          <w:kern w:val="2"/>
          <w:sz w:val="24"/>
          <w:szCs w:val="24"/>
          <w:lang w:val="en-US" w:eastAsia="zh-CN" w:bidi="ar-SA"/>
        </w:rPr>
        <w:t>3.1.4自然灾害引发的环境危险性分析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（1）暴雨</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夏季经常有暴雨出现，暴雨对污水处理厂所造成的影响是水量增加，影响处理工艺。因此，汛期应急应属于环境事故与公共设施事故，属于IV级（一般）。</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（2）高温、严寒</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低气温可能导致室外设备设施如化学品生产储存设施及输送管线故障、冻损破裂，从而导致有害物质的泄漏，污染厂区及周边环境；过高气温还可能导致设备设施突发故障，从而使工艺过程中断，导致化学危险物的泄漏或溢出。</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3.1.5出水水质超标引起的环境危险性分析</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出水水质是验证污水处理厂是否正常运行的重要指标。污水处理厂出水水质超标将对排入河道造成严重的危害，如果影响是短期的，通过</w:t>
      </w:r>
      <w:r>
        <w:rPr>
          <w:rFonts w:hint="eastAsia" w:hAnsi="宋体"/>
          <w:b w:val="0"/>
          <w:bCs w:val="0"/>
          <w:sz w:val="24"/>
          <w:szCs w:val="24"/>
          <w:lang w:eastAsia="zh-CN"/>
        </w:rPr>
        <w:t>母猪河</w:t>
      </w:r>
      <w:r>
        <w:rPr>
          <w:rFonts w:hint="eastAsia" w:hAnsi="宋体"/>
          <w:b w:val="0"/>
          <w:bCs w:val="0"/>
          <w:sz w:val="24"/>
          <w:szCs w:val="24"/>
        </w:rPr>
        <w:t>的稀释、自然净化等作用后，危害会逐步减小，如果是长期的，将严重污染河道，造成严重的经济和环境损失。</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73" w:name="_Toc16348_WPSOffice_Level1"/>
      <w:r>
        <w:rPr>
          <w:rFonts w:hint="eastAsia"/>
          <w:b w:val="0"/>
          <w:bCs w:val="0"/>
          <w:sz w:val="24"/>
          <w:szCs w:val="24"/>
        </w:rPr>
        <w:t>3.2 环境危险事故分级</w:t>
      </w:r>
      <w:bookmarkEnd w:id="7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通过对可能存在的突发环境事件及危险性的分析，根据危险事件可能引起的环境污染、经济损失以及人员伤亡情况，将突发环境事件分为一般突发环境事件，较大突发环境事件，重大突发环境事件、特大突发环境事件四个等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（1）符合下列情形之一者可以界定为一般突发环境事件：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 事故造成直接经济损失在千元以上、万元以下的；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 人员有轻微伤害的，如轻微灼伤、轻微中毒。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（2）符合下列情形之一者可以界定为较大突发环境事件：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 事故造成1万元以上、20万元以下（包括20万元）直接经济损失；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 造成或可能造成人员1人以上，3人以下中毒、重伤的；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③ 对大气、地表水或地下水造成一定污染。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（3）符合下列情形之一者可以界定为重大突发环境事件：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 事故（存在的隐患）对周边居民的生命财产安全具有一定威胁；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 造成或可能造成1-2人死亡或3人以上、10人以下中毒、重伤；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③ 造成20-50万元直接经济损失；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④ 对大气、地表水或地下水造成较大污染。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（4）符合下列情形之一者可以界定为特大突发环境事件：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 事故（或存在的隐患）已经严重危及周边居民的生命财产安全；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 造成或可能造成3人及以上死亡，或10人及以上重伤；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③ 造成50万元以上直接经济损失；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④ 对大气、地表水或地下水造成严重污染。</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74" w:name="_Toc16744_WPSOffice_Level1"/>
      <w:r>
        <w:rPr>
          <w:rFonts w:hint="eastAsia"/>
          <w:b w:val="0"/>
          <w:bCs w:val="0"/>
          <w:sz w:val="24"/>
          <w:szCs w:val="24"/>
        </w:rPr>
        <w:t>3.3 企业潜在的危险事故和分级</w:t>
      </w:r>
      <w:bookmarkEnd w:id="7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依据上面的环境危险性分析和分级界定，汇总企业可能存在的环境危险类型、危险表现形式、危险分级以及危害，汇总</w:t>
      </w:r>
      <w:r>
        <w:rPr>
          <w:rFonts w:hint="eastAsia" w:hAnsi="宋体"/>
          <w:b w:val="0"/>
          <w:bCs w:val="0"/>
          <w:sz w:val="24"/>
          <w:szCs w:val="24"/>
          <w:lang w:eastAsia="zh-CN"/>
        </w:rPr>
        <w:t>于下表</w:t>
      </w:r>
      <w:r>
        <w:rPr>
          <w:rFonts w:hint="eastAsia" w:hAnsi="宋体"/>
          <w:b w:val="0"/>
          <w:bCs w:val="0"/>
          <w:sz w:val="24"/>
          <w:szCs w:val="24"/>
        </w:rPr>
        <w:t>。</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val="0"/>
          <w:bCs w:val="0"/>
          <w:sz w:val="24"/>
          <w:szCs w:val="24"/>
        </w:rPr>
      </w:pPr>
      <w:bookmarkStart w:id="75" w:name="_Toc19615_WPSOffice_Level1"/>
      <w:bookmarkStart w:id="76" w:name="_Toc31321_WPSOffice_Level1"/>
      <w:bookmarkStart w:id="77" w:name="_Toc18626_WPSOffice_Level2"/>
      <w:bookmarkStart w:id="78" w:name="_Toc6114"/>
      <w:bookmarkStart w:id="79" w:name="_Toc24961_WPSOffice_Level1"/>
      <w:r>
        <w:rPr>
          <w:rFonts w:hint="eastAsia" w:ascii="黑体" w:hAnsi="宋体" w:eastAsia="黑体"/>
          <w:b w:val="0"/>
          <w:bCs w:val="0"/>
          <w:sz w:val="24"/>
          <w:szCs w:val="24"/>
        </w:rPr>
        <w:t>企业环境事件具体情况表</w:t>
      </w:r>
      <w:bookmarkEnd w:id="75"/>
      <w:bookmarkEnd w:id="76"/>
      <w:bookmarkEnd w:id="77"/>
      <w:bookmarkEnd w:id="78"/>
      <w:bookmarkEnd w:id="79"/>
    </w:p>
    <w:tbl>
      <w:tblPr>
        <w:tblStyle w:val="10"/>
        <w:tblW w:w="9253" w:type="dxa"/>
        <w:jc w:val="center"/>
        <w:tblInd w:w="4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2"/>
        <w:gridCol w:w="4042"/>
        <w:gridCol w:w="1516"/>
        <w:gridCol w:w="1292"/>
        <w:gridCol w:w="16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Ansi="宋体"/>
                <w:b w:val="0"/>
                <w:bCs w:val="0"/>
                <w:sz w:val="24"/>
                <w:szCs w:val="24"/>
              </w:rPr>
              <w:t>危险</w:t>
            </w:r>
          </w:p>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环节</w:t>
            </w:r>
          </w:p>
        </w:tc>
        <w:tc>
          <w:tcPr>
            <w:tcW w:w="404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危险表现形式</w:t>
            </w:r>
          </w:p>
        </w:tc>
        <w:tc>
          <w:tcPr>
            <w:tcW w:w="1516"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监控</w:t>
            </w: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分级</w:t>
            </w:r>
          </w:p>
        </w:tc>
        <w:tc>
          <w:tcPr>
            <w:tcW w:w="1691"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危害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85" w:hRule="atLeast"/>
          <w:jc w:val="center"/>
        </w:trPr>
        <w:tc>
          <w:tcPr>
            <w:tcW w:w="71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eastAsia="宋体"/>
                <w:b w:val="0"/>
                <w:bCs w:val="0"/>
                <w:sz w:val="24"/>
                <w:szCs w:val="24"/>
                <w:lang w:eastAsia="zh-CN"/>
              </w:rPr>
            </w:pPr>
            <w:r>
              <w:rPr>
                <w:rFonts w:hint="eastAsia" w:hAnsi="宋体"/>
                <w:b w:val="0"/>
                <w:bCs w:val="0"/>
                <w:color w:val="000000" w:themeColor="text1"/>
                <w:sz w:val="24"/>
                <w:szCs w:val="24"/>
                <w:lang w:eastAsia="zh-CN"/>
                <w14:textFill>
                  <w14:solidFill>
                    <w14:schemeClr w14:val="tx1"/>
                  </w14:solidFill>
                </w14:textFill>
              </w:rPr>
              <w:t>储罐区</w:t>
            </w:r>
          </w:p>
        </w:tc>
        <w:tc>
          <w:tcPr>
            <w:tcW w:w="4042"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b w:val="0"/>
                <w:bCs w:val="0"/>
                <w:sz w:val="24"/>
                <w:szCs w:val="24"/>
              </w:rPr>
              <w:t>聚丙烯酰胺无毒性，易燃，但燃烧后不产生任何</w:t>
            </w:r>
            <w:r>
              <w:rPr>
                <w:b w:val="0"/>
                <w:bCs w:val="0"/>
                <w:sz w:val="24"/>
                <w:szCs w:val="24"/>
              </w:rPr>
              <w:t>有害燃烧产物</w:t>
            </w:r>
            <w:r>
              <w:rPr>
                <w:rFonts w:hint="eastAsia"/>
                <w:b w:val="0"/>
                <w:bCs w:val="0"/>
                <w:sz w:val="24"/>
                <w:szCs w:val="24"/>
              </w:rPr>
              <w:t>。</w:t>
            </w:r>
          </w:p>
        </w:tc>
        <w:tc>
          <w:tcPr>
            <w:tcW w:w="1516"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Ansi="宋体"/>
                <w:b w:val="0"/>
                <w:bCs w:val="0"/>
                <w:sz w:val="24"/>
                <w:szCs w:val="24"/>
              </w:rPr>
              <w:t>定期巡检</w:t>
            </w:r>
            <w:r>
              <w:rPr>
                <w:rFonts w:hint="eastAsia" w:hAnsi="宋体"/>
                <w:b w:val="0"/>
                <w:bCs w:val="0"/>
                <w:sz w:val="24"/>
                <w:szCs w:val="24"/>
              </w:rPr>
              <w:t>仓库，做好防火工作</w:t>
            </w:r>
            <w:r>
              <w:rPr>
                <w:rFonts w:hAnsi="宋体"/>
                <w:b w:val="0"/>
                <w:bCs w:val="0"/>
                <w:sz w:val="24"/>
                <w:szCs w:val="24"/>
              </w:rPr>
              <w:t>，</w:t>
            </w:r>
            <w:r>
              <w:rPr>
                <w:rFonts w:hint="eastAsia" w:hAnsi="宋体"/>
                <w:b w:val="0"/>
                <w:bCs w:val="0"/>
                <w:sz w:val="24"/>
                <w:szCs w:val="24"/>
              </w:rPr>
              <w:t>仓库设禁烟标识牌。</w:t>
            </w: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int="eastAsia" w:hAnsi="宋体"/>
                <w:b w:val="0"/>
                <w:bCs w:val="0"/>
                <w:sz w:val="24"/>
                <w:szCs w:val="24"/>
              </w:rPr>
              <w:t>一般/较大</w:t>
            </w:r>
          </w:p>
        </w:tc>
        <w:tc>
          <w:tcPr>
            <w:tcW w:w="1691" w:type="dxa"/>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r>
              <w:rPr>
                <w:rFonts w:hint="eastAsia" w:hAnsi="宋体"/>
                <w:b w:val="0"/>
                <w:bCs w:val="0"/>
                <w:sz w:val="24"/>
                <w:szCs w:val="24"/>
              </w:rPr>
              <w:t>可能发生燃烧爆炸，</w:t>
            </w:r>
            <w:r>
              <w:rPr>
                <w:rFonts w:hAnsi="宋体"/>
                <w:b w:val="0"/>
                <w:bCs w:val="0"/>
                <w:sz w:val="24"/>
                <w:szCs w:val="24"/>
              </w:rPr>
              <w:t>造成</w:t>
            </w:r>
            <w:r>
              <w:rPr>
                <w:rFonts w:hint="eastAsia" w:hAnsi="宋体"/>
                <w:b w:val="0"/>
                <w:bCs w:val="0"/>
                <w:sz w:val="24"/>
                <w:szCs w:val="24"/>
              </w:rPr>
              <w:t>生态环境破坏和人员</w:t>
            </w:r>
            <w:r>
              <w:rPr>
                <w:rFonts w:hAnsi="宋体"/>
                <w:b w:val="0"/>
                <w:bCs w:val="0"/>
                <w:sz w:val="24"/>
                <w:szCs w:val="24"/>
              </w:rPr>
              <w:t>伤</w:t>
            </w:r>
            <w:r>
              <w:rPr>
                <w:rFonts w:hint="eastAsia" w:hAnsi="宋体"/>
                <w:b w:val="0"/>
                <w:bCs w:val="0"/>
                <w:sz w:val="24"/>
                <w:szCs w:val="24"/>
              </w:rPr>
              <w:t>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712"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Ansi="宋体"/>
                <w:b w:val="0"/>
                <w:bCs w:val="0"/>
                <w:sz w:val="24"/>
                <w:szCs w:val="24"/>
              </w:rPr>
              <w:t>设</w:t>
            </w:r>
          </w:p>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Ansi="宋体"/>
                <w:b w:val="0"/>
                <w:bCs w:val="0"/>
                <w:sz w:val="24"/>
                <w:szCs w:val="24"/>
              </w:rPr>
              <w:t>施</w:t>
            </w:r>
          </w:p>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Ansi="宋体"/>
                <w:b w:val="0"/>
                <w:bCs w:val="0"/>
                <w:sz w:val="24"/>
                <w:szCs w:val="24"/>
              </w:rPr>
              <w:t>设</w:t>
            </w:r>
          </w:p>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Ansi="宋体"/>
                <w:b w:val="0"/>
                <w:bCs w:val="0"/>
                <w:sz w:val="24"/>
                <w:szCs w:val="24"/>
              </w:rPr>
              <w:t>备</w:t>
            </w:r>
          </w:p>
        </w:tc>
        <w:tc>
          <w:tcPr>
            <w:tcW w:w="4042"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水量大幅减少，引起微生物死亡，处理效率降低，超标排放。</w:t>
            </w:r>
          </w:p>
        </w:tc>
        <w:tc>
          <w:tcPr>
            <w:tcW w:w="1516"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Ansi="宋体"/>
                <w:b w:val="0"/>
                <w:bCs w:val="0"/>
                <w:sz w:val="24"/>
                <w:szCs w:val="24"/>
              </w:rPr>
              <w:t>各岗位设置专人负责，定期巡检设备，</w:t>
            </w:r>
            <w:r>
              <w:rPr>
                <w:rFonts w:hint="eastAsia" w:hAnsi="宋体"/>
                <w:b w:val="0"/>
                <w:bCs w:val="0"/>
                <w:sz w:val="24"/>
                <w:szCs w:val="24"/>
              </w:rPr>
              <w:t>定期维护，</w:t>
            </w:r>
            <w:r>
              <w:rPr>
                <w:rFonts w:hAnsi="宋体"/>
                <w:b w:val="0"/>
                <w:bCs w:val="0"/>
                <w:sz w:val="24"/>
                <w:szCs w:val="24"/>
              </w:rPr>
              <w:t>并记录运行管理</w:t>
            </w:r>
            <w:r>
              <w:rPr>
                <w:rFonts w:hint="eastAsia" w:hAnsi="宋体"/>
                <w:b w:val="0"/>
                <w:bCs w:val="0"/>
                <w:sz w:val="24"/>
                <w:szCs w:val="24"/>
              </w:rPr>
              <w:t>情况，与当地供电部门保持沟通</w:t>
            </w:r>
            <w:r>
              <w:rPr>
                <w:rFonts w:hint="eastAsia"/>
                <w:b w:val="0"/>
                <w:bCs w:val="0"/>
                <w:sz w:val="24"/>
                <w:szCs w:val="24"/>
              </w:rPr>
              <w:t xml:space="preserve"> </w:t>
            </w: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较大/重大</w:t>
            </w:r>
          </w:p>
        </w:tc>
        <w:tc>
          <w:tcPr>
            <w:tcW w:w="1691" w:type="dxa"/>
            <w:vMerge w:val="restart"/>
            <w:vAlign w:val="top"/>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int="eastAsia" w:hAnsi="宋体"/>
                <w:b w:val="0"/>
                <w:bCs w:val="0"/>
                <w:sz w:val="24"/>
                <w:szCs w:val="24"/>
              </w:rPr>
              <w:t>设备故障及废水处理水量发生变化导致废水超标排放</w:t>
            </w:r>
            <w:r>
              <w:rPr>
                <w:rFonts w:hAnsi="宋体"/>
                <w:b w:val="0"/>
                <w:bCs w:val="0"/>
                <w:sz w:val="24"/>
                <w:szCs w:val="24"/>
              </w:rPr>
              <w:t>，污染水</w:t>
            </w:r>
            <w:r>
              <w:rPr>
                <w:rFonts w:hint="eastAsia" w:hAnsi="宋体"/>
                <w:b w:val="0"/>
                <w:bCs w:val="0"/>
                <w:sz w:val="24"/>
                <w:szCs w:val="24"/>
                <w:lang w:eastAsia="zh-CN"/>
              </w:rPr>
              <w:t>资源</w:t>
            </w:r>
            <w:r>
              <w:rPr>
                <w:rFonts w:hint="eastAsia" w:hAnsi="宋体"/>
                <w:b w:val="0"/>
                <w:bCs w:val="0"/>
                <w:sz w:val="24"/>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2"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Ansi="宋体"/>
                <w:b w:val="0"/>
                <w:bCs w:val="0"/>
                <w:sz w:val="24"/>
                <w:szCs w:val="24"/>
              </w:rPr>
            </w:pPr>
          </w:p>
        </w:tc>
        <w:tc>
          <w:tcPr>
            <w:tcW w:w="404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int="eastAsia" w:hAnsi="宋体"/>
                <w:b w:val="0"/>
                <w:bCs w:val="0"/>
                <w:sz w:val="24"/>
                <w:szCs w:val="24"/>
              </w:rPr>
              <w:t>停电导致设备无法运行</w:t>
            </w:r>
          </w:p>
        </w:tc>
        <w:tc>
          <w:tcPr>
            <w:tcW w:w="1516" w:type="dxa"/>
            <w:vMerge w:val="continue"/>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较/重/特大</w:t>
            </w:r>
          </w:p>
        </w:tc>
        <w:tc>
          <w:tcPr>
            <w:tcW w:w="1691" w:type="dxa"/>
            <w:vMerge w:val="continue"/>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2"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Ansi="宋体"/>
                <w:b w:val="0"/>
                <w:bCs w:val="0"/>
                <w:sz w:val="24"/>
                <w:szCs w:val="24"/>
              </w:rPr>
            </w:pPr>
          </w:p>
        </w:tc>
        <w:tc>
          <w:tcPr>
            <w:tcW w:w="404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int="eastAsia" w:hAnsi="宋体"/>
                <w:b w:val="0"/>
                <w:bCs w:val="0"/>
                <w:sz w:val="24"/>
                <w:szCs w:val="24"/>
              </w:rPr>
              <w:t>水泵、加药、曝气池设备发生故障</w:t>
            </w:r>
          </w:p>
        </w:tc>
        <w:tc>
          <w:tcPr>
            <w:tcW w:w="1516" w:type="dxa"/>
            <w:vMerge w:val="continue"/>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一般/较/重大</w:t>
            </w:r>
          </w:p>
        </w:tc>
        <w:tc>
          <w:tcPr>
            <w:tcW w:w="1691" w:type="dxa"/>
            <w:vMerge w:val="continue"/>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2"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Ansi="宋体"/>
                <w:b w:val="0"/>
                <w:bCs w:val="0"/>
                <w:sz w:val="24"/>
                <w:szCs w:val="24"/>
              </w:rPr>
              <w:t>暴雨</w:t>
            </w:r>
            <w:r>
              <w:rPr>
                <w:rFonts w:hint="eastAsia" w:hAnsi="宋体"/>
                <w:b w:val="0"/>
                <w:bCs w:val="0"/>
                <w:sz w:val="24"/>
                <w:szCs w:val="24"/>
              </w:rPr>
              <w:t>大风极端气</w:t>
            </w:r>
            <w:r>
              <w:rPr>
                <w:rFonts w:hAnsi="宋体"/>
                <w:b w:val="0"/>
                <w:bCs w:val="0"/>
                <w:sz w:val="24"/>
                <w:szCs w:val="24"/>
              </w:rPr>
              <w:t>温等</w:t>
            </w:r>
            <w:r>
              <w:rPr>
                <w:rFonts w:hint="eastAsia" w:hAnsi="宋体"/>
                <w:b w:val="0"/>
                <w:bCs w:val="0"/>
                <w:sz w:val="24"/>
                <w:szCs w:val="24"/>
              </w:rPr>
              <w:t>气象因素</w:t>
            </w:r>
          </w:p>
        </w:tc>
        <w:tc>
          <w:tcPr>
            <w:tcW w:w="4042"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暴雨雨量超过污水处理厂设计值，就有可能发生废水满溢排放事故，造成下游生态环境污染。</w:t>
            </w:r>
          </w:p>
        </w:tc>
        <w:tc>
          <w:tcPr>
            <w:tcW w:w="1516"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Ansi="宋体"/>
                <w:b w:val="0"/>
                <w:bCs w:val="0"/>
                <w:sz w:val="24"/>
                <w:szCs w:val="24"/>
              </w:rPr>
              <w:t>各岗位设置专人负责，在</w:t>
            </w:r>
            <w:r>
              <w:rPr>
                <w:rFonts w:hint="eastAsia" w:hAnsi="宋体"/>
                <w:b w:val="0"/>
                <w:bCs w:val="0"/>
                <w:sz w:val="24"/>
                <w:szCs w:val="24"/>
              </w:rPr>
              <w:t>极端</w:t>
            </w:r>
            <w:r>
              <w:rPr>
                <w:rFonts w:hAnsi="宋体"/>
                <w:b w:val="0"/>
                <w:bCs w:val="0"/>
                <w:sz w:val="24"/>
                <w:szCs w:val="24"/>
              </w:rPr>
              <w:t>天气</w:t>
            </w:r>
            <w:r>
              <w:rPr>
                <w:rFonts w:hint="eastAsia" w:hAnsi="宋体"/>
                <w:b w:val="0"/>
                <w:bCs w:val="0"/>
                <w:sz w:val="24"/>
                <w:szCs w:val="24"/>
              </w:rPr>
              <w:t>条件下</w:t>
            </w:r>
            <w:r>
              <w:rPr>
                <w:rFonts w:hAnsi="宋体"/>
                <w:b w:val="0"/>
                <w:bCs w:val="0"/>
                <w:sz w:val="24"/>
                <w:szCs w:val="24"/>
              </w:rPr>
              <w:t>，</w:t>
            </w:r>
            <w:r>
              <w:rPr>
                <w:rFonts w:hint="eastAsia" w:hAnsi="宋体"/>
                <w:b w:val="0"/>
                <w:bCs w:val="0"/>
                <w:sz w:val="24"/>
                <w:szCs w:val="24"/>
              </w:rPr>
              <w:t>加大关键部位的</w:t>
            </w:r>
            <w:r>
              <w:rPr>
                <w:rFonts w:hAnsi="宋体"/>
                <w:b w:val="0"/>
                <w:bCs w:val="0"/>
                <w:sz w:val="24"/>
                <w:szCs w:val="24"/>
              </w:rPr>
              <w:t>巡检</w:t>
            </w:r>
            <w:r>
              <w:rPr>
                <w:rFonts w:hint="eastAsia" w:hAnsi="宋体"/>
                <w:b w:val="0"/>
                <w:bCs w:val="0"/>
                <w:sz w:val="24"/>
                <w:szCs w:val="24"/>
              </w:rPr>
              <w:t>频率，注意管道、阀门的保温、防冻。</w:t>
            </w: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较/重/特大</w:t>
            </w:r>
          </w:p>
        </w:tc>
        <w:tc>
          <w:tcPr>
            <w:tcW w:w="1691" w:type="dxa"/>
            <w:vMerge w:val="restart"/>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r>
              <w:rPr>
                <w:rFonts w:hAnsi="宋体"/>
                <w:b w:val="0"/>
                <w:bCs w:val="0"/>
                <w:sz w:val="24"/>
                <w:szCs w:val="24"/>
              </w:rPr>
              <w:t>污染水</w:t>
            </w:r>
            <w:r>
              <w:rPr>
                <w:rFonts w:hint="eastAsia" w:hAnsi="宋体"/>
                <w:b w:val="0"/>
                <w:bCs w:val="0"/>
                <w:sz w:val="24"/>
                <w:szCs w:val="24"/>
                <w:lang w:eastAsia="zh-CN"/>
              </w:rPr>
              <w:t>资源</w:t>
            </w:r>
            <w:r>
              <w:rPr>
                <w:rFonts w:hint="eastAsia" w:hAnsi="宋体"/>
                <w:b w:val="0"/>
                <w:bCs w:val="0"/>
                <w:sz w:val="24"/>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12"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p>
        </w:tc>
        <w:tc>
          <w:tcPr>
            <w:tcW w:w="4042"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Ansi="宋体"/>
                <w:b w:val="0"/>
                <w:bCs w:val="0"/>
                <w:sz w:val="24"/>
                <w:szCs w:val="24"/>
              </w:rPr>
              <w:t>高温天气，生产人员可能发生中暑、</w:t>
            </w:r>
            <w:r>
              <w:rPr>
                <w:rFonts w:hint="eastAsia" w:hAnsi="宋体"/>
                <w:b w:val="0"/>
                <w:bCs w:val="0"/>
                <w:sz w:val="24"/>
                <w:szCs w:val="24"/>
              </w:rPr>
              <w:t>操作</w:t>
            </w:r>
            <w:r>
              <w:rPr>
                <w:rFonts w:hAnsi="宋体"/>
                <w:b w:val="0"/>
                <w:bCs w:val="0"/>
                <w:sz w:val="24"/>
                <w:szCs w:val="24"/>
              </w:rPr>
              <w:t>失误等；低温天气可能会使室外设施设备和管线冻裂、破裂，从而导致</w:t>
            </w:r>
            <w:r>
              <w:rPr>
                <w:rFonts w:hint="eastAsia" w:hAnsi="宋体"/>
                <w:b w:val="0"/>
                <w:bCs w:val="0"/>
                <w:sz w:val="24"/>
                <w:szCs w:val="24"/>
              </w:rPr>
              <w:t>废水直接排放，污染周边环境，极端天气引起微生物死亡或变异，有可能造成出水不能稳定达标。。</w:t>
            </w:r>
          </w:p>
        </w:tc>
        <w:tc>
          <w:tcPr>
            <w:tcW w:w="1516"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Ansi="宋体"/>
                <w:b w:val="0"/>
                <w:bCs w:val="0"/>
                <w:sz w:val="24"/>
                <w:szCs w:val="24"/>
              </w:rPr>
              <w:t>较</w:t>
            </w:r>
            <w:r>
              <w:rPr>
                <w:b w:val="0"/>
                <w:bCs w:val="0"/>
                <w:sz w:val="24"/>
                <w:szCs w:val="24"/>
              </w:rPr>
              <w:t>/</w:t>
            </w:r>
            <w:r>
              <w:rPr>
                <w:rFonts w:hAnsi="宋体"/>
                <w:b w:val="0"/>
                <w:bCs w:val="0"/>
                <w:sz w:val="24"/>
                <w:szCs w:val="24"/>
              </w:rPr>
              <w:t>重</w:t>
            </w:r>
            <w:r>
              <w:rPr>
                <w:rFonts w:hint="eastAsia" w:hAnsi="宋体"/>
                <w:b w:val="0"/>
                <w:bCs w:val="0"/>
                <w:sz w:val="24"/>
                <w:szCs w:val="24"/>
              </w:rPr>
              <w:t>大</w:t>
            </w:r>
          </w:p>
        </w:tc>
        <w:tc>
          <w:tcPr>
            <w:tcW w:w="1691"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3" w:hRule="atLeast"/>
          <w:jc w:val="center"/>
        </w:trPr>
        <w:tc>
          <w:tcPr>
            <w:tcW w:w="71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hAnsi="宋体"/>
                <w:b w:val="0"/>
                <w:bCs w:val="0"/>
                <w:sz w:val="24"/>
                <w:szCs w:val="24"/>
              </w:rPr>
            </w:pPr>
            <w:r>
              <w:rPr>
                <w:rFonts w:hint="eastAsia" w:hAnsi="宋体"/>
                <w:b w:val="0"/>
                <w:bCs w:val="0"/>
                <w:sz w:val="24"/>
                <w:szCs w:val="24"/>
              </w:rPr>
              <w:t>出水水质超标</w:t>
            </w:r>
          </w:p>
        </w:tc>
        <w:tc>
          <w:tcPr>
            <w:tcW w:w="4042" w:type="dxa"/>
            <w:vAlign w:val="center"/>
          </w:tcPr>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进水水质异常</w:t>
            </w:r>
          </w:p>
        </w:tc>
        <w:tc>
          <w:tcPr>
            <w:tcW w:w="1516"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hAnsi="宋体"/>
                <w:b w:val="0"/>
                <w:bCs w:val="0"/>
                <w:sz w:val="24"/>
                <w:szCs w:val="24"/>
              </w:rPr>
              <w:t>各岗位设置专人负责，定期巡检水区，做好应急防护措施，配备必要的应急设备和物资。</w:t>
            </w:r>
          </w:p>
        </w:tc>
        <w:tc>
          <w:tcPr>
            <w:tcW w:w="1292" w:type="dxa"/>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较/重/特大</w:t>
            </w:r>
          </w:p>
        </w:tc>
        <w:tc>
          <w:tcPr>
            <w:tcW w:w="1691" w:type="dxa"/>
            <w:vAlign w:val="center"/>
          </w:tcPr>
          <w:p>
            <w:pPr>
              <w:pageBreakBefore w:val="0"/>
              <w:widowControl w:val="0"/>
              <w:kinsoku/>
              <w:wordWrap/>
              <w:overflowPunct/>
              <w:topLinePunct w:val="0"/>
              <w:autoSpaceDE/>
              <w:autoSpaceDN/>
              <w:bidi w:val="0"/>
              <w:adjustRightInd/>
              <w:snapToGrid/>
              <w:spacing w:line="360" w:lineRule="auto"/>
              <w:textAlignment w:val="auto"/>
              <w:rPr>
                <w:rFonts w:hAnsi="宋体"/>
                <w:b w:val="0"/>
                <w:bCs w:val="0"/>
                <w:sz w:val="24"/>
                <w:szCs w:val="24"/>
              </w:rPr>
            </w:pPr>
            <w:r>
              <w:rPr>
                <w:rFonts w:hint="eastAsia" w:hAnsi="宋体"/>
                <w:b w:val="0"/>
                <w:bCs w:val="0"/>
                <w:sz w:val="24"/>
                <w:szCs w:val="24"/>
              </w:rPr>
              <w:t>污染地表水（洛河），严重时影响下游生态环境。</w:t>
            </w:r>
          </w:p>
        </w:tc>
      </w:tr>
    </w:tbl>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0" w:name="_Toc22189_WPSOffice_Level1"/>
      <w:r>
        <w:rPr>
          <w:rFonts w:hint="eastAsia"/>
          <w:b w:val="0"/>
          <w:bCs w:val="0"/>
          <w:sz w:val="24"/>
          <w:szCs w:val="24"/>
        </w:rPr>
        <w:t>4环境应急组织机构与职责</w:t>
      </w:r>
      <w:bookmarkEnd w:id="80"/>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为了降低或避免特殊情况下突发环境事件所造成的损失，确保有组织、有计划、快速地应对突发环境事件，及时地组织抢险和救援，必须建立环境应急组织机构，并明确应急组织机构各成员的职责，应急组织的建立必须遵循应急机构人员职能不交叉的原则。</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1" w:name="_Toc27569_WPSOffice_Level1"/>
      <w:r>
        <w:rPr>
          <w:rFonts w:hint="eastAsia"/>
          <w:b w:val="0"/>
          <w:bCs w:val="0"/>
          <w:sz w:val="24"/>
          <w:szCs w:val="24"/>
        </w:rPr>
        <w:t>4.1 环境应急工作领导小组职责及组成人员</w:t>
      </w:r>
      <w:bookmarkEnd w:id="81"/>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4.1.1 环境应急指挥领导小组职责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（1）根据企业实际生产情况，制定本单位环境安全生产规章制度，组织相关人员学习和交流，建立起相应的监督机制，保障生产的安全运行；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（2）根据安全环保生产的要求，保障用于安全环保生产相关的设备设施投入和运行；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（3）建立环保安全检查组织，及时积极对安全环保生产进行监督和维护，预防和消除环保安全事故隐患；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（4）熟悉应急预案的具体要求，并根据应急预案提出的应急物资计划组织采购储备应急物资，从人员、财力、物力等方面保证突发环境事件应急的实施需要；</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（5）发生突发环境污染事故后，根据本预案制定的时限，及时、主动向环境应急指挥部提供应急救援有关的基础资料，如实报告有关情况以及可能造成的污染危害等。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（6）全权负责事故应急处置的组织指挥，并根据事故的性质、类别实施应急措施，结合实际决策总体救援处置方案；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（7）调度事故救援所需要的人、财、物的力量，并根据事态发展，适时调整事故处置方案。</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hAnsi="宋体"/>
          <w:b w:val="0"/>
          <w:bCs w:val="0"/>
          <w:sz w:val="24"/>
          <w:szCs w:val="24"/>
        </w:rPr>
      </w:pPr>
      <w:r>
        <w:rPr>
          <w:rFonts w:hint="eastAsia" w:hAnsi="宋体"/>
          <w:b w:val="0"/>
          <w:bCs w:val="0"/>
          <w:sz w:val="24"/>
          <w:szCs w:val="24"/>
        </w:rPr>
        <w:t>4.1.2 环境应急工作领导小组人员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公司重大危险事故应急救援指挥领导小组由总经理、副总经理及运营（工程）开发部、综合办公室组成，应急救援办公室设在综合办公室，负责日常的管理工作。总经理任总指挥，副总经理任副指挥，负责公司应急救援工作的组织和指挥，并落实各部室的职责。</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注：如总经理不在时应由主管综合办公室的副总经理负责救援指挥，救援小组办公室设在综合办公室。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如遇节假日或夜间干部值班人员一人负责通知总指挥、副指挥及相关人员，一人负责现场救援指挥，直至总指挥、副指挥到达现场后。</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2" w:name="_Toc12353_WPSOffice_Level1"/>
      <w:r>
        <w:rPr>
          <w:rFonts w:hint="eastAsia"/>
          <w:b w:val="0"/>
          <w:bCs w:val="0"/>
          <w:sz w:val="24"/>
          <w:szCs w:val="24"/>
        </w:rPr>
        <w:t>4.2 环境应急工作组职责及组成人员</w:t>
      </w:r>
      <w:bookmarkEnd w:id="82"/>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4.2.1 环境应急工作组职责</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环境应急工作组负责现场所需抢险物资的搬运及现场抢救工作，做好各小队之间的协调配合工作。迅速、有效地实施先期处置，全力控制事故灾难发展态势，防止次生、衍生和耦合事故（事件）发生，果断控制或切断事故灾害链。</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提前组织相关人员对环境安全事故应急预案的培训学习</w:t>
      </w:r>
      <w:r>
        <w:rPr>
          <w:rFonts w:hint="eastAsia" w:hAnsi="宋体"/>
          <w:b w:val="0"/>
          <w:bCs w:val="0"/>
          <w:sz w:val="24"/>
          <w:szCs w:val="24"/>
          <w:lang w:eastAsia="zh-CN"/>
        </w:rPr>
        <w:t>；</w:t>
      </w:r>
      <w:r>
        <w:rPr>
          <w:rFonts w:hint="eastAsia" w:hAnsi="宋体"/>
          <w:b w:val="0"/>
          <w:bCs w:val="0"/>
          <w:sz w:val="24"/>
          <w:szCs w:val="24"/>
        </w:rPr>
        <w:t>了解周围环境敏感点的位置、数量、类型，及污染事故可能对其产生的影响；掌握生产工艺过程中可能出现的环境污染事故的解决方案；掌握控险、排险、堵漏、转输的基本方法，防止污染物扩散；熟悉主要消防器材、防护设备等的位置及使用方法；熟知如何正确报警及常用内、外部报警电话，编制内、外部电话清单并张贴在醒目的位置；了解熟知应急人员的基本任务及责任、污染治理设施的运行要求、可能产生的环境污染事故等方面的内容。</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4.2.2 环境应急工作组人员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（1）抢险救援队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长：运营工程开发部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员：水处理班6人；污泥脱水班</w:t>
      </w:r>
      <w:r>
        <w:rPr>
          <w:rFonts w:hint="eastAsia" w:hAnsi="宋体"/>
          <w:b w:val="0"/>
          <w:bCs w:val="0"/>
          <w:sz w:val="24"/>
          <w:szCs w:val="24"/>
          <w:lang w:val="en-US" w:eastAsia="zh-CN"/>
        </w:rPr>
        <w:t>2</w:t>
      </w:r>
      <w:r>
        <w:rPr>
          <w:rFonts w:hint="eastAsia" w:hAnsi="宋体"/>
          <w:b w:val="0"/>
          <w:bCs w:val="0"/>
          <w:sz w:val="24"/>
          <w:szCs w:val="24"/>
        </w:rPr>
        <w:t>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职  责：执行领导小组的命令、决定，并根据其精神，结合事故现场实际情况，按照应急预案认真协调实施事故发生环节的救援抢险工作，防止事故的扩大蔓延，力求将损失降低至最低。并负责应急响应结束后，配合信息联络员对事故的现场调查、组织事故分析和事故的上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（2）物资保障和运输队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长：侯俊杰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员：维修班3名；电工班</w:t>
      </w:r>
      <w:r>
        <w:rPr>
          <w:rFonts w:hint="eastAsia" w:hAnsi="宋体"/>
          <w:b w:val="0"/>
          <w:bCs w:val="0"/>
          <w:sz w:val="24"/>
          <w:szCs w:val="24"/>
          <w:lang w:val="en-US" w:eastAsia="zh-CN"/>
        </w:rPr>
        <w:t>3</w:t>
      </w:r>
      <w:r>
        <w:rPr>
          <w:rFonts w:hint="eastAsia" w:hAnsi="宋体"/>
          <w:b w:val="0"/>
          <w:bCs w:val="0"/>
          <w:sz w:val="24"/>
          <w:szCs w:val="24"/>
        </w:rPr>
        <w:t>名。应急车辆1辆和司机1名。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职责：负责实施应急设备和所需物资的供应配发，保障现场抢险和抢险物资的供给和运输用车。随叫随到，不能有误；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（3）疏散隔离和安全保卫队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长：办公室主任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员：</w:t>
      </w:r>
      <w:r>
        <w:rPr>
          <w:rFonts w:hint="eastAsia" w:hAnsi="宋体"/>
          <w:b w:val="0"/>
          <w:bCs w:val="0"/>
          <w:sz w:val="24"/>
          <w:szCs w:val="24"/>
          <w:lang w:eastAsia="zh-CN"/>
        </w:rPr>
        <w:t>办公室</w:t>
      </w:r>
      <w:r>
        <w:rPr>
          <w:rFonts w:hint="eastAsia" w:hAnsi="宋体"/>
          <w:b w:val="0"/>
          <w:bCs w:val="0"/>
          <w:sz w:val="24"/>
          <w:szCs w:val="24"/>
          <w:lang w:val="en-US" w:eastAsia="zh-CN"/>
        </w:rPr>
        <w:t>4</w:t>
      </w:r>
      <w:r>
        <w:rPr>
          <w:rFonts w:hint="eastAsia" w:hAnsi="宋体"/>
          <w:b w:val="0"/>
          <w:bCs w:val="0"/>
          <w:sz w:val="24"/>
          <w:szCs w:val="24"/>
        </w:rPr>
        <w:t>人；门卫4人。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职  责：负责在险情发生时，安全疏散人员，同时隔离现场，设置危险警示标志，严格限制无关人员出入。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（4）医疗救护及善后处理队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lang w:eastAsia="zh-CN"/>
        </w:rPr>
      </w:pPr>
      <w:r>
        <w:rPr>
          <w:rFonts w:hint="eastAsia" w:hAnsi="宋体"/>
          <w:b w:val="0"/>
          <w:bCs w:val="0"/>
          <w:sz w:val="24"/>
          <w:szCs w:val="24"/>
        </w:rPr>
        <w:t>队  长：</w:t>
      </w:r>
      <w:r>
        <w:rPr>
          <w:rFonts w:hint="eastAsia" w:hAnsi="宋体"/>
          <w:b w:val="0"/>
          <w:bCs w:val="0"/>
          <w:sz w:val="24"/>
          <w:szCs w:val="24"/>
          <w:lang w:eastAsia="zh-CN"/>
        </w:rPr>
        <w:t>张媛媛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  员：</w:t>
      </w:r>
      <w:r>
        <w:rPr>
          <w:rFonts w:hint="eastAsia" w:hAnsi="宋体"/>
          <w:b w:val="0"/>
          <w:bCs w:val="0"/>
          <w:sz w:val="24"/>
          <w:szCs w:val="24"/>
          <w:lang w:eastAsia="zh-CN"/>
        </w:rPr>
        <w:t>财务</w:t>
      </w:r>
      <w:r>
        <w:rPr>
          <w:rFonts w:hint="eastAsia" w:hAnsi="宋体"/>
          <w:b w:val="0"/>
          <w:bCs w:val="0"/>
          <w:sz w:val="24"/>
          <w:szCs w:val="24"/>
          <w:lang w:val="en-US" w:eastAsia="zh-CN"/>
        </w:rPr>
        <w:t>2</w:t>
      </w:r>
      <w:r>
        <w:rPr>
          <w:rFonts w:hint="eastAsia" w:hAnsi="宋体"/>
          <w:b w:val="0"/>
          <w:bCs w:val="0"/>
          <w:sz w:val="24"/>
          <w:szCs w:val="24"/>
        </w:rPr>
        <w:t>人，</w:t>
      </w:r>
      <w:r>
        <w:rPr>
          <w:rFonts w:hint="eastAsia" w:hAnsi="宋体"/>
          <w:b w:val="0"/>
          <w:bCs w:val="0"/>
          <w:sz w:val="24"/>
          <w:szCs w:val="24"/>
          <w:lang w:eastAsia="zh-CN"/>
        </w:rPr>
        <w:t>配电室</w:t>
      </w:r>
      <w:r>
        <w:rPr>
          <w:rFonts w:hint="eastAsia" w:hAnsi="宋体"/>
          <w:b w:val="0"/>
          <w:bCs w:val="0"/>
          <w:sz w:val="24"/>
          <w:szCs w:val="24"/>
          <w:lang w:val="en-US" w:eastAsia="zh-CN"/>
        </w:rPr>
        <w:t>2人，</w:t>
      </w:r>
      <w:r>
        <w:rPr>
          <w:rFonts w:hint="eastAsia" w:hAnsi="宋体"/>
          <w:b w:val="0"/>
          <w:bCs w:val="0"/>
          <w:sz w:val="24"/>
          <w:szCs w:val="24"/>
        </w:rPr>
        <w:t>车辆1辆和司机</w:t>
      </w:r>
      <w:r>
        <w:rPr>
          <w:rFonts w:hint="eastAsia" w:hAnsi="宋体"/>
          <w:b w:val="0"/>
          <w:bCs w:val="0"/>
          <w:sz w:val="24"/>
          <w:szCs w:val="24"/>
          <w:lang w:val="en-US" w:eastAsia="zh-CN"/>
        </w:rPr>
        <w:t>1</w:t>
      </w:r>
      <w:r>
        <w:rPr>
          <w:rFonts w:hint="eastAsia" w:hAnsi="宋体"/>
          <w:b w:val="0"/>
          <w:bCs w:val="0"/>
          <w:sz w:val="24"/>
          <w:szCs w:val="24"/>
        </w:rPr>
        <w:t>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职  责：负责指挥抢险现场受伤人员的救助和对重伤员的转治，保障抢险人员人身安全。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（5）环境监测队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lang w:eastAsia="zh-CN"/>
        </w:rPr>
      </w:pPr>
      <w:r>
        <w:rPr>
          <w:rFonts w:hint="eastAsia" w:hAnsi="宋体"/>
          <w:b w:val="0"/>
          <w:bCs w:val="0"/>
          <w:sz w:val="24"/>
          <w:szCs w:val="24"/>
        </w:rPr>
        <w:t>队长：</w:t>
      </w:r>
      <w:r>
        <w:rPr>
          <w:rFonts w:hint="eastAsia" w:hAnsi="宋体"/>
          <w:b w:val="0"/>
          <w:bCs w:val="0"/>
          <w:sz w:val="24"/>
          <w:szCs w:val="24"/>
          <w:lang w:eastAsia="zh-CN"/>
        </w:rPr>
        <w:t>毕麦红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队员：化验室工作人员4人。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职责：负责事故可能污染到范围内的环境监测（水环境、空气环境或地面固体废物环境污染）并按照规定随时上报。</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3" w:name="_Toc29740_WPSOffice_Level1"/>
      <w:r>
        <w:rPr>
          <w:rFonts w:hint="eastAsia"/>
          <w:b w:val="0"/>
          <w:bCs w:val="0"/>
          <w:sz w:val="24"/>
          <w:szCs w:val="24"/>
        </w:rPr>
        <w:t>4.3 外部应急救援联系电话</w:t>
      </w:r>
      <w:bookmarkEnd w:id="83"/>
    </w:p>
    <w:tbl>
      <w:tblPr>
        <w:tblStyle w:val="11"/>
        <w:tblW w:w="6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0"/>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415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部门</w:t>
            </w:r>
          </w:p>
        </w:tc>
        <w:tc>
          <w:tcPr>
            <w:tcW w:w="283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415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事故单位</w:t>
            </w:r>
          </w:p>
        </w:tc>
        <w:tc>
          <w:tcPr>
            <w:tcW w:w="283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8253421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415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上级单位</w:t>
            </w:r>
          </w:p>
        </w:tc>
        <w:tc>
          <w:tcPr>
            <w:tcW w:w="283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b w:val="0"/>
                <w:bCs w:val="0"/>
                <w:sz w:val="24"/>
                <w:szCs w:val="24"/>
              </w:rPr>
              <w:t>8451539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415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应急单位</w:t>
            </w:r>
          </w:p>
        </w:tc>
        <w:tc>
          <w:tcPr>
            <w:tcW w:w="283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415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急救单位</w:t>
            </w:r>
          </w:p>
        </w:tc>
        <w:tc>
          <w:tcPr>
            <w:tcW w:w="283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rPr>
            </w:pPr>
            <w:r>
              <w:rPr>
                <w:rFonts w:hint="eastAsia"/>
                <w:b w:val="0"/>
                <w:bCs w:val="0"/>
                <w:sz w:val="24"/>
                <w:szCs w:val="24"/>
              </w:rPr>
              <w:t>120</w:t>
            </w:r>
          </w:p>
        </w:tc>
      </w:tr>
    </w:tbl>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4" w:name="_Toc24138_WPSOffice_Level1"/>
      <w:r>
        <w:rPr>
          <w:rFonts w:hint="eastAsia"/>
          <w:b w:val="0"/>
          <w:bCs w:val="0"/>
          <w:sz w:val="24"/>
          <w:szCs w:val="24"/>
        </w:rPr>
        <w:t>5保障措施</w:t>
      </w:r>
      <w:bookmarkEnd w:id="8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应急抢险必须要有一定的资金、物资、人员、通讯顺畅等方方面面的保障。保障措施到位是抢险救援快速准确实现的基本条件。本企业的应急保障措施主要有：通讯与信息保障、资金保障、人力资源及技术保障和物资装备保障等四个方面。</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5" w:name="_Toc32322_WPSOffice_Level1"/>
      <w:r>
        <w:rPr>
          <w:rFonts w:hint="eastAsia"/>
          <w:b w:val="0"/>
          <w:bCs w:val="0"/>
          <w:sz w:val="24"/>
          <w:szCs w:val="24"/>
        </w:rPr>
        <w:t>5.1 通讯与信息保障</w:t>
      </w:r>
      <w:bookmarkEnd w:id="8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通讯与信息保障主要由安全保卫队负责，要建立通信系统维护以及信息采集等制度，明确参与应急活动的所有部门通讯方式，分级联系方式，并提供备用方案和通讯录，配备必要的有线、无线通信器材（如手机、有线电话等），确保本预案启动时各应急部门之间的联络畅通。</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6" w:name="_Toc17298_WPSOffice_Level1"/>
      <w:r>
        <w:rPr>
          <w:rFonts w:hint="eastAsia"/>
          <w:b w:val="0"/>
          <w:bCs w:val="0"/>
          <w:sz w:val="24"/>
          <w:szCs w:val="24"/>
        </w:rPr>
        <w:t>5.</w:t>
      </w:r>
      <w:r>
        <w:rPr>
          <w:rFonts w:hint="eastAsia"/>
          <w:b w:val="0"/>
          <w:bCs w:val="0"/>
          <w:sz w:val="24"/>
          <w:szCs w:val="24"/>
          <w:lang w:val="en-US" w:eastAsia="zh-CN"/>
        </w:rPr>
        <w:t>2</w:t>
      </w:r>
      <w:r>
        <w:rPr>
          <w:rFonts w:hint="eastAsia"/>
          <w:b w:val="0"/>
          <w:bCs w:val="0"/>
          <w:sz w:val="24"/>
          <w:szCs w:val="24"/>
        </w:rPr>
        <w:t xml:space="preserve"> 人力资源及技术保障</w:t>
      </w:r>
      <w:bookmarkEnd w:id="86"/>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结合企业实际情况本企业设置有抢险救援队、物资保障队、环境监测队、疏散隔离及安全保卫队和医疗救护队等专业救援队伍，并定期开展应急演习及演练活动。</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7" w:name="_Toc871_WPSOffice_Level1"/>
      <w:r>
        <w:rPr>
          <w:rFonts w:hint="eastAsia"/>
          <w:b w:val="0"/>
          <w:bCs w:val="0"/>
          <w:sz w:val="24"/>
          <w:szCs w:val="24"/>
        </w:rPr>
        <w:t>5.</w:t>
      </w:r>
      <w:r>
        <w:rPr>
          <w:rFonts w:hint="eastAsia"/>
          <w:b w:val="0"/>
          <w:bCs w:val="0"/>
          <w:sz w:val="24"/>
          <w:szCs w:val="24"/>
          <w:lang w:val="en-US" w:eastAsia="zh-CN"/>
        </w:rPr>
        <w:t>3</w:t>
      </w:r>
      <w:r>
        <w:rPr>
          <w:rFonts w:hint="eastAsia"/>
          <w:b w:val="0"/>
          <w:bCs w:val="0"/>
          <w:sz w:val="24"/>
          <w:szCs w:val="24"/>
        </w:rPr>
        <w:t>物资装备保障</w:t>
      </w:r>
      <w:bookmarkEnd w:id="87"/>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lang w:val="en-US" w:eastAsia="zh-CN"/>
        </w:rPr>
      </w:pPr>
      <w:r>
        <w:rPr>
          <w:rFonts w:hint="eastAsia" w:hAnsi="宋体"/>
          <w:b w:val="0"/>
          <w:bCs w:val="0"/>
          <w:sz w:val="24"/>
          <w:szCs w:val="24"/>
          <w:lang w:val="en-US" w:eastAsia="zh-CN"/>
        </w:rPr>
        <w:t>应急物资装备保质保量的储备和供应是应急抢险顺利进行的基础保障，所有应急装备、物资均统一存于库房，设专门存放点。储备的主要物资装备及企业储存现状见下表：</w:t>
      </w:r>
    </w:p>
    <w:p>
      <w:pPr>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b w:val="0"/>
          <w:bCs w:val="0"/>
          <w:sz w:val="24"/>
          <w:szCs w:val="24"/>
        </w:rPr>
      </w:pPr>
      <w:r>
        <w:rPr>
          <w:rFonts w:hint="eastAsia" w:hAnsi="宋体"/>
          <w:b w:val="0"/>
          <w:bCs w:val="0"/>
          <w:sz w:val="24"/>
          <w:szCs w:val="24"/>
        </w:rPr>
        <w:t xml:space="preserve">   </w:t>
      </w:r>
      <w:r>
        <w:rPr>
          <w:rFonts w:hint="eastAsia"/>
          <w:b w:val="0"/>
          <w:bCs w:val="0"/>
          <w:sz w:val="24"/>
          <w:szCs w:val="24"/>
        </w:rPr>
        <w:t xml:space="preserve">                </w:t>
      </w:r>
      <w:r>
        <w:rPr>
          <w:rFonts w:ascii="黑体" w:hAnsi="宋体" w:eastAsia="黑体"/>
          <w:b w:val="0"/>
          <w:bCs w:val="0"/>
          <w:sz w:val="24"/>
          <w:szCs w:val="24"/>
        </w:rPr>
        <w:t>应急物资装备一览表</w:t>
      </w:r>
    </w:p>
    <w:tbl>
      <w:tblPr>
        <w:tblStyle w:val="10"/>
        <w:tblW w:w="88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720"/>
        <w:gridCol w:w="2148"/>
        <w:gridCol w:w="1786"/>
        <w:gridCol w:w="801"/>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148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类别</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序号</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名称</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存放地点</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数量</w:t>
            </w:r>
          </w:p>
        </w:tc>
        <w:tc>
          <w:tcPr>
            <w:tcW w:w="1932"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后勤保障</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应急灯、手电筒</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5</w:t>
            </w:r>
          </w:p>
        </w:tc>
        <w:tc>
          <w:tcPr>
            <w:tcW w:w="1932"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lang w:eastAsia="zh-CN"/>
              </w:rPr>
              <w:t>联系人：王刚</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lang w:eastAsia="zh-CN"/>
              </w:rPr>
              <w:t>联系电话：</w:t>
            </w:r>
            <w:r>
              <w:rPr>
                <w:rFonts w:hint="eastAsia" w:ascii="宋体" w:hAnsi="宋体"/>
                <w:b w:val="0"/>
                <w:bCs w:val="0"/>
                <w:sz w:val="24"/>
                <w:szCs w:val="24"/>
                <w:lang w:val="en-US" w:eastAsia="zh-CN"/>
              </w:rPr>
              <w:t>8260528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安全帽</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安全绳</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5</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雨衣、雨鞋</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5</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喇叭、哨子</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2/5</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6</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绝缘水鞋</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7</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绝缘手套</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8</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电动工具</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9</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防毒面具</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四合一检测设备</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办公室</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工作服</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有线电话</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8</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对讲机</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8</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冬季棉大衣</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应急抢险设备</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铲</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1932"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镐</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锨</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斧</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撬杠</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6</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千斤顶</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类别</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rPr>
              <w:t>序号</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rPr>
              <w:t>名称</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存放地点</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rPr>
              <w:t>数量</w:t>
            </w:r>
          </w:p>
        </w:tc>
        <w:tc>
          <w:tcPr>
            <w:tcW w:w="1932"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应急抢险设备</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7</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电气焊切割工具</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w:t>
            </w:r>
          </w:p>
        </w:tc>
        <w:tc>
          <w:tcPr>
            <w:tcW w:w="1932"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lang w:eastAsia="zh-CN"/>
              </w:rPr>
              <w:t>联系人：王刚</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lang w:eastAsia="zh-CN"/>
              </w:rPr>
              <w:t>联系电话：</w:t>
            </w:r>
            <w:r>
              <w:rPr>
                <w:rFonts w:hint="eastAsia" w:ascii="宋体" w:hAnsi="宋体"/>
                <w:b w:val="0"/>
                <w:bCs w:val="0"/>
                <w:sz w:val="24"/>
                <w:szCs w:val="24"/>
                <w:lang w:val="en-US" w:eastAsia="zh-CN"/>
              </w:rPr>
              <w:t>8260528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8</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钢丝绳</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100米</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9</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汽车</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4</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10</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推土机</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1</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11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rPr>
              <w:t>救生绳</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100米</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12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rPr>
              <w:t>麻绳</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100米</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13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rPr>
              <w:t>安全带</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6</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val="en-US" w:eastAsia="zh-CN"/>
              </w:rPr>
            </w:pPr>
            <w:r>
              <w:rPr>
                <w:rFonts w:hint="eastAsia" w:ascii="宋体" w:hAnsi="宋体"/>
                <w:b w:val="0"/>
                <w:bCs w:val="0"/>
                <w:sz w:val="24"/>
                <w:szCs w:val="24"/>
                <w:lang w:val="en-US" w:eastAsia="zh-CN"/>
              </w:rPr>
              <w:t>14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lang w:eastAsia="zh-CN"/>
              </w:rPr>
            </w:pPr>
            <w:r>
              <w:rPr>
                <w:rFonts w:hint="eastAsia" w:ascii="宋体" w:hAnsi="宋体"/>
                <w:b w:val="0"/>
                <w:bCs w:val="0"/>
                <w:sz w:val="24"/>
                <w:szCs w:val="24"/>
              </w:rPr>
              <w:t>麻袋</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救护用品</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毛巾</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办公室</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体温计</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办公室</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药品箱</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办公室</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担架</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消防器材</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灭火器</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办公区/生产区</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42</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消防栓</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办公区/生产区</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9</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3</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消防</w:t>
            </w:r>
            <w:r>
              <w:rPr>
                <w:rFonts w:hint="eastAsia" w:ascii="宋体" w:hAnsi="宋体"/>
                <w:b w:val="0"/>
                <w:bCs w:val="0"/>
                <w:sz w:val="24"/>
                <w:szCs w:val="24"/>
                <w:lang w:eastAsia="zh-CN"/>
              </w:rPr>
              <w:t>带</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r>
              <w:rPr>
                <w:rFonts w:hint="eastAsia" w:ascii="宋体" w:hAnsi="宋体"/>
                <w:b w:val="0"/>
                <w:bCs w:val="0"/>
                <w:sz w:val="24"/>
                <w:szCs w:val="24"/>
                <w:lang w:val="en-US" w:eastAsia="zh-CN"/>
              </w:rPr>
              <w:t>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4</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消防斧</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c>
          <w:tcPr>
            <w:tcW w:w="1932"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5</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消防用具</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restart"/>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现场警戒</w:t>
            </w: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警戒带</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r>
              <w:rPr>
                <w:rFonts w:hint="eastAsia" w:ascii="宋体" w:hAnsi="宋体"/>
                <w:b w:val="0"/>
                <w:bCs w:val="0"/>
                <w:sz w:val="24"/>
                <w:szCs w:val="24"/>
              </w:rPr>
              <w:t>10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1481" w:type="dxa"/>
            <w:vMerge w:val="continue"/>
            <w:vAlign w:val="center"/>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c>
          <w:tcPr>
            <w:tcW w:w="720"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w:t>
            </w:r>
          </w:p>
        </w:tc>
        <w:tc>
          <w:tcPr>
            <w:tcW w:w="2148"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路障</w:t>
            </w:r>
          </w:p>
        </w:tc>
        <w:tc>
          <w:tcPr>
            <w:tcW w:w="1786"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eastAsia="zh-CN"/>
              </w:rPr>
            </w:pPr>
            <w:r>
              <w:rPr>
                <w:rFonts w:hint="eastAsia" w:ascii="宋体" w:hAnsi="宋体"/>
                <w:b w:val="0"/>
                <w:bCs w:val="0"/>
                <w:sz w:val="24"/>
                <w:szCs w:val="24"/>
                <w:lang w:eastAsia="zh-CN"/>
              </w:rPr>
              <w:t>仓库</w:t>
            </w:r>
          </w:p>
        </w:tc>
        <w:tc>
          <w:tcPr>
            <w:tcW w:w="801" w:type="dxa"/>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bCs w:val="0"/>
                <w:sz w:val="24"/>
                <w:szCs w:val="24"/>
                <w:lang w:val="en-US" w:eastAsia="zh-CN"/>
              </w:rPr>
            </w:pPr>
            <w:r>
              <w:rPr>
                <w:rFonts w:hint="eastAsia" w:ascii="宋体" w:hAnsi="宋体"/>
                <w:b w:val="0"/>
                <w:bCs w:val="0"/>
                <w:sz w:val="24"/>
                <w:szCs w:val="24"/>
                <w:lang w:val="en-US" w:eastAsia="zh-CN"/>
              </w:rPr>
              <w:t>20</w:t>
            </w:r>
          </w:p>
        </w:tc>
        <w:tc>
          <w:tcPr>
            <w:tcW w:w="1932" w:type="dxa"/>
            <w:vMerge w:val="continue"/>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val="0"/>
                <w:bCs w:val="0"/>
                <w:sz w:val="24"/>
                <w:szCs w:val="24"/>
              </w:rPr>
            </w:pPr>
          </w:p>
        </w:tc>
      </w:tr>
    </w:tbl>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8" w:name="_Toc22090_WPSOffice_Level1"/>
      <w:r>
        <w:rPr>
          <w:rFonts w:hint="eastAsia"/>
          <w:b w:val="0"/>
          <w:bCs w:val="0"/>
          <w:sz w:val="24"/>
          <w:szCs w:val="24"/>
        </w:rPr>
        <w:t>5.</w:t>
      </w:r>
      <w:r>
        <w:rPr>
          <w:rFonts w:hint="eastAsia"/>
          <w:b w:val="0"/>
          <w:bCs w:val="0"/>
          <w:sz w:val="24"/>
          <w:szCs w:val="24"/>
          <w:lang w:val="en-US" w:eastAsia="zh-CN"/>
        </w:rPr>
        <w:t>4</w:t>
      </w:r>
      <w:r>
        <w:rPr>
          <w:rFonts w:hint="eastAsia"/>
          <w:b w:val="0"/>
          <w:bCs w:val="0"/>
          <w:sz w:val="24"/>
          <w:szCs w:val="24"/>
        </w:rPr>
        <w:t>宣传、培训和演习</w:t>
      </w:r>
      <w:bookmarkEnd w:id="88"/>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宣传、培训和演习工作主要由环境应急领导小组和工作小组负责，其主要工作内容如下：</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（1）加强环境保护科普宣传教育工作，扩大应急管理科普宣教工作覆盖面，普及环境污染事件的预防常识，增强职工的防范意识和相关心理准备，提高公众对事故的防范意识；</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（2）加强环境事故专业技术人员日常培训和事故源工作人员的培训管理，培养一批训练有素的环境应急处置、检验、监测和救护队伍；</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（3）定期组织环境应急实战演习，提高防范和处置突发性环境污染事故的技能，增强实战能力，全面提高公众预防、避险、自救、互救、减灾等知识和技能。</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89" w:name="_Toc8554_WPSOffice_Level1"/>
      <w:r>
        <w:rPr>
          <w:rFonts w:hint="eastAsia"/>
          <w:b w:val="0"/>
          <w:bCs w:val="0"/>
          <w:sz w:val="24"/>
          <w:szCs w:val="24"/>
        </w:rPr>
        <w:t>5.</w:t>
      </w:r>
      <w:r>
        <w:rPr>
          <w:rFonts w:hint="eastAsia"/>
          <w:b w:val="0"/>
          <w:bCs w:val="0"/>
          <w:sz w:val="24"/>
          <w:szCs w:val="24"/>
          <w:lang w:val="en-US" w:eastAsia="zh-CN"/>
        </w:rPr>
        <w:t>5</w:t>
      </w:r>
      <w:r>
        <w:rPr>
          <w:rFonts w:hint="eastAsia"/>
          <w:b w:val="0"/>
          <w:bCs w:val="0"/>
          <w:sz w:val="24"/>
          <w:szCs w:val="24"/>
        </w:rPr>
        <w:t xml:space="preserve"> 应急能力保障</w:t>
      </w:r>
      <w:bookmarkEnd w:id="89"/>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为保障环境应急体系始终处于良好的备战状态，企业要对各个抢险救援小组的制度设置情况和工作程序的建立与执行情况、人员培训与考核情况、应急装备和经费储备的管理与使用情况等方面</w:t>
      </w:r>
      <w:r>
        <w:rPr>
          <w:rFonts w:hint="eastAsia" w:hAnsi="宋体"/>
          <w:b w:val="0"/>
          <w:bCs w:val="0"/>
          <w:sz w:val="24"/>
          <w:szCs w:val="24"/>
          <w:lang w:eastAsia="zh-CN"/>
        </w:rPr>
        <w:t>进行监督</w:t>
      </w:r>
      <w:r>
        <w:rPr>
          <w:rFonts w:hint="eastAsia" w:hAnsi="宋体"/>
          <w:b w:val="0"/>
          <w:bCs w:val="0"/>
          <w:sz w:val="24"/>
          <w:szCs w:val="24"/>
        </w:rPr>
        <w:t>。</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0" w:name="_Toc17373_WPSOffice_Level1"/>
      <w:r>
        <w:rPr>
          <w:rFonts w:hint="eastAsia"/>
          <w:b w:val="0"/>
          <w:bCs w:val="0"/>
          <w:sz w:val="24"/>
          <w:szCs w:val="24"/>
        </w:rPr>
        <w:t>6预防和预警</w:t>
      </w:r>
      <w:bookmarkEnd w:id="90"/>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1" w:name="_Toc9087_WPSOffice_Level1"/>
      <w:r>
        <w:rPr>
          <w:rFonts w:hint="eastAsia"/>
          <w:b w:val="0"/>
          <w:bCs w:val="0"/>
          <w:sz w:val="24"/>
          <w:szCs w:val="24"/>
        </w:rPr>
        <w:t>6.1 危险源预防</w:t>
      </w:r>
      <w:bookmarkEnd w:id="91"/>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6.1.1 危险源监控</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为了及时掌握危险源的情况，对危险事故做到早发现早处理，降低或避免危险事故造成的危害，必须建立健全危险源监控体系</w:t>
      </w:r>
      <w:r>
        <w:rPr>
          <w:rFonts w:hint="eastAsia" w:hAnsi="宋体"/>
          <w:b w:val="0"/>
          <w:bCs w:val="0"/>
          <w:sz w:val="24"/>
          <w:szCs w:val="24"/>
          <w:lang w:eastAsia="zh-CN"/>
        </w:rPr>
        <w:t>，</w:t>
      </w:r>
      <w:r>
        <w:rPr>
          <w:rFonts w:hint="eastAsia" w:hAnsi="宋体"/>
          <w:b w:val="0"/>
          <w:bCs w:val="0"/>
          <w:sz w:val="24"/>
          <w:szCs w:val="24"/>
        </w:rPr>
        <w:t>各个危险源的监控体系，主要措施有：</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聚合氯化铝储罐、乙酸钠储罐、聚丙烯酰胺仓库存在环境风险的关键地点，应设置明显警示标记，并设置专人监管。正常情况下，严格按巡检制度进行巡检，检查内容主要为物料储罐及配套管道、阀门的状况（液位、密封等），防护设施、排洪设施的状况，泵体和电机等设备运转是否正常。</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（2）本污水厂配备有COD自动监控仪、氨氮自动监控仪、超声波明渠流量计、水质自动采样器、数据通讯传输系统。按规定及时对污水厂生产工艺进行水质、水量监测，并做好相关记录。</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（3）应急设备和物资设置专人负责，本厂的应急物资应该有灭火器、消防栓、编织袋等。正常情况下按照规定进行检查，汛期时要每天检查，保证各种物资的充足与完备。</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（5）应与当地供电部门保持沟通渠道，及时了解双回路供电信息及停电计划以便安排实施应对措施。</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2" w:name="_Toc30809_WPSOffice_Level1"/>
      <w:r>
        <w:rPr>
          <w:rFonts w:hint="eastAsia"/>
          <w:b w:val="0"/>
          <w:bCs w:val="0"/>
          <w:sz w:val="24"/>
          <w:szCs w:val="24"/>
        </w:rPr>
        <w:t>6.2预警行动</w:t>
      </w:r>
      <w:bookmarkEnd w:id="9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企业突发环境事件可能发生的部位、事故的严重性、紧急程度和可能波及的范围，对应危险源分级内容，将该企业突发环境事件的预警分为4级。预警级别由高到低，依次为1级预警（特大突发环境事件）、2级预警（重大突发环境事件）、3级预警（较大突发环境事件）和4级预警（一般突发环境事件）。每级预警方式主要通过固定电话和手机迅速进行，然后随事态的发展情况和采取措施的效果预警会升级、降级或解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本企业的预警方式主要有固定电话、手机、对讲机。</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6.</w:t>
      </w:r>
      <w:r>
        <w:rPr>
          <w:rFonts w:hint="eastAsia" w:hAnsi="宋体"/>
          <w:b w:val="0"/>
          <w:bCs w:val="0"/>
          <w:sz w:val="24"/>
          <w:szCs w:val="24"/>
          <w:lang w:val="en-US" w:eastAsia="zh-CN"/>
        </w:rPr>
        <w:t>2</w:t>
      </w:r>
      <w:r>
        <w:rPr>
          <w:rFonts w:hint="eastAsia" w:hAnsi="宋体"/>
          <w:b w:val="0"/>
          <w:bCs w:val="0"/>
          <w:sz w:val="24"/>
          <w:szCs w:val="24"/>
        </w:rPr>
        <w:t>.</w:t>
      </w:r>
      <w:r>
        <w:rPr>
          <w:rFonts w:hint="eastAsia" w:hAnsi="宋体"/>
          <w:b w:val="0"/>
          <w:bCs w:val="0"/>
          <w:sz w:val="24"/>
          <w:szCs w:val="24"/>
          <w:lang w:val="en-US" w:eastAsia="zh-CN"/>
        </w:rPr>
        <w:t>1</w:t>
      </w:r>
      <w:r>
        <w:rPr>
          <w:rFonts w:hint="eastAsia" w:hAnsi="宋体"/>
          <w:b w:val="0"/>
          <w:bCs w:val="0"/>
          <w:sz w:val="24"/>
          <w:szCs w:val="24"/>
        </w:rPr>
        <w:t xml:space="preserve"> 预防措施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根据危险源及危险因素分析，主要从五个方面预防。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（1）泄漏事故预防措施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①储罐通风设施应经常保持完好，地面做好防腐防渗层；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②储罐应做好泄漏收集工作，充分利用现有管道，平时要注意导流渠和管道的畅通；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（2）生产过程中的危险预防措施：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①污水处理厂进出水水质执行定期监测制度，了解水厂进出水水质情况，防止污水水质水量波动影响水厂正常运行，及时合理的调节运行工况，严禁长时间超负荷运行。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②污水处理设施沿池部位应设置可靠的防护设施、安全围栏；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（3）管理及操作环节危险预防措施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①建立健全安全生产责任制，制定安全生产规章制度和操作规程；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②对工作人员应进行安全生产教育和培训，熟悉安全生产规章制度和安全生产规程；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③得知停电计划或发现临时停电时，应急小组应及时向当地环保部门汇报，并在事故处理过程中随时与供电部门及当地环保部门联系；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ascii="宋体" w:hAnsi="宋体" w:eastAsia="宋体" w:cs="宋体"/>
          <w:b w:val="0"/>
          <w:bCs w:val="0"/>
          <w:sz w:val="24"/>
          <w:szCs w:val="24"/>
        </w:rPr>
        <w:t>④</w:t>
      </w:r>
      <w:r>
        <w:rPr>
          <w:rFonts w:hint="eastAsia" w:hAnsi="宋体"/>
          <w:b w:val="0"/>
          <w:bCs w:val="0"/>
          <w:sz w:val="24"/>
          <w:szCs w:val="24"/>
        </w:rPr>
        <w:t>当出现设备故障及大修而无备用设备或备用设备无法启用等情况时，要及时与应急领导小组联系，确定大修时间，采取相关措施在大修期间存放污水，防止外排。同时，根据大修时间的长短及污水厂事故池、管网情况确定能否容纳大修期间入场的污水，如若不能则及时通知环保部门，提高排入污水处理厂企业的排放标准，确保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ascii="宋体" w:hAnsi="宋体" w:eastAsia="宋体" w:cs="宋体"/>
          <w:b w:val="0"/>
          <w:bCs w:val="0"/>
          <w:sz w:val="24"/>
          <w:szCs w:val="24"/>
        </w:rPr>
        <w:t>⑤</w:t>
      </w:r>
      <w:r>
        <w:rPr>
          <w:rFonts w:hint="eastAsia" w:hAnsi="宋体"/>
          <w:b w:val="0"/>
          <w:bCs w:val="0"/>
          <w:sz w:val="24"/>
          <w:szCs w:val="24"/>
        </w:rPr>
        <w:t>密切关注气象变化，加强对汛期进厂污水的监控，做好各项应急准备工作。汛期前，应对污水处理厂设施进行一次全面检查，消除事故隐患；雨季期间，加强对设施的日常检查，同时与气象部门保持经常联系，及时掌握气象信息；事故可能发生时，通过预先确定的报警方法及早采取措施；</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（4）其他危险环节预防措施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①为防止突然停电时给企业造成突发事件，企业应配备双电源或必要的临时发电装置（柴油发电机）；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②各生产单元应配置应急照明装置；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③污水处理厂厂区应广泛植树种草。</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6.2.2 预警及措施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当企业收集到的有关信息能够证明突发环境事件即将发生或者发生的可能性增大时，必须要按照本应急预案执行。</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进入预警状态后，企业根据可能发生或者已经发生的突发环境事件的危害程度，及时上报给当地政府相关部门，政府相关部门及企业各部门应当迅速采取以下措施：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（1）立即启动相关应急预案；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2）发布预警公告：事故发生后首先按照指挥部的命令通过电话、警铃或广播通知全厂人员，根据危险等级由对应的部门发布相应的预警通知：1级预警由县政府负责发布，2级预警由县建委负责发布，3级预警由本污水厂负责发布，4级预警由车间负责发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（3）抢险组及应急救援队伍应立即进入应急状态，现场负责人及监测人员根据事故变化动态和发展，监测结果，及时向指挥部领导报告危险情况；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（4）根据需要采取设置的措施疏散、撤离或转移者可能受到危害的人员，并进行妥善安置；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（5）在事故发生一定范围内根据需要迅速设立危险警示牌（或设置隔离带），禁止与事故无关人员进入，避免造成不必要的危害；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（6）及时调集环境应急所需物资和设备，确保应急物资材料供应保障工作。</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3" w:name="_Toc1144_WPSOffice_Level1"/>
      <w:r>
        <w:rPr>
          <w:rFonts w:hint="eastAsia"/>
          <w:b w:val="0"/>
          <w:bCs w:val="0"/>
          <w:sz w:val="24"/>
          <w:szCs w:val="24"/>
        </w:rPr>
        <w:t>6.</w:t>
      </w:r>
      <w:r>
        <w:rPr>
          <w:rFonts w:hint="eastAsia"/>
          <w:b w:val="0"/>
          <w:bCs w:val="0"/>
          <w:sz w:val="24"/>
          <w:szCs w:val="24"/>
          <w:lang w:val="en-US" w:eastAsia="zh-CN"/>
        </w:rPr>
        <w:t>3</w:t>
      </w:r>
      <w:r>
        <w:rPr>
          <w:rFonts w:hint="eastAsia"/>
          <w:b w:val="0"/>
          <w:bCs w:val="0"/>
          <w:sz w:val="24"/>
          <w:szCs w:val="24"/>
        </w:rPr>
        <w:t xml:space="preserve"> 报警通讯</w:t>
      </w:r>
      <w:bookmarkEnd w:id="9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一旦发生事故，必须迅速报警。报警时应讲清以下内容：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（1）事故发生时间、单位名称、详细地址；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（2）事故发生部位、严重程度；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sz w:val="24"/>
          <w:szCs w:val="24"/>
        </w:rPr>
      </w:pPr>
      <w:r>
        <w:rPr>
          <w:rFonts w:hint="eastAsia" w:hAnsi="宋体"/>
          <w:b w:val="0"/>
          <w:bCs w:val="0"/>
          <w:sz w:val="24"/>
          <w:szCs w:val="24"/>
        </w:rPr>
        <w:t>（3）报警人姓名、报警电话号码。</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4" w:name="_Toc20034_WPSOffice_Level1"/>
      <w:r>
        <w:rPr>
          <w:rFonts w:hint="eastAsia"/>
          <w:b w:val="0"/>
          <w:bCs w:val="0"/>
          <w:sz w:val="24"/>
          <w:szCs w:val="24"/>
        </w:rPr>
        <w:t>7应急响应</w:t>
      </w:r>
      <w:bookmarkEnd w:id="94"/>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5" w:name="_Toc15328_WPSOffice_Level1"/>
      <w:r>
        <w:rPr>
          <w:rFonts w:hint="eastAsia"/>
          <w:b w:val="0"/>
          <w:bCs w:val="0"/>
          <w:sz w:val="24"/>
          <w:szCs w:val="24"/>
        </w:rPr>
        <w:t>7.1 响应分级</w:t>
      </w:r>
      <w:bookmarkEnd w:id="95"/>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按企业突发环境事件的可控性、严重程度和影响范围，将该企业突发环境事件的应急响应分四级，响应级别由高到低分别为Ⅰ级响应（特大突发环境事件）、Ⅱ级响应（重大突发环境事件）、Ⅲ级响应（较大突发环境事件）和Ⅳ级响应（一般突发环境事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Ⅰ级响应：当企业发生特大突发环境事件时启动，事故发生后污水厂领导应立即拨打火警电话，请求支援，并及时上报</w:t>
      </w:r>
      <w:r>
        <w:rPr>
          <w:rFonts w:hint="eastAsia" w:hAnsi="宋体"/>
          <w:b w:val="0"/>
          <w:bCs w:val="0"/>
          <w:sz w:val="24"/>
          <w:szCs w:val="24"/>
          <w:lang w:eastAsia="zh-CN"/>
        </w:rPr>
        <w:t>环保局和</w:t>
      </w:r>
      <w:r>
        <w:rPr>
          <w:rFonts w:hint="eastAsia" w:hAnsi="宋体"/>
          <w:b w:val="0"/>
          <w:bCs w:val="0"/>
          <w:sz w:val="24"/>
          <w:szCs w:val="24"/>
        </w:rPr>
        <w:t>政府，由政府启动相应的应急方案；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Ⅱ级响应：当发生重大突发环境事件时启动，由单位负责人立即上报污水厂应急领导小组，由污水厂应急指挥长启动相应的应急方案；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Ⅲ级响应：当发生较大突发环境事件时启动，由班组负责人立即上报单位负责人，由单位负责人启动相应的应急方案。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Ⅳ级响应：当发生一般突发环境事件时启动，由事故发现人立即上报班组当班负责人，由班组当班负责人启动相应的应急方案。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根据事态发展，一旦事故超出本级应急处置能力时，应及时请求上一级应急救援指挥机构启动更高一级应急预案。</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6" w:name="_Toc4548_WPSOffice_Level1"/>
      <w:r>
        <w:rPr>
          <w:rFonts w:hint="eastAsia"/>
          <w:b w:val="0"/>
          <w:bCs w:val="0"/>
          <w:sz w:val="24"/>
          <w:szCs w:val="24"/>
        </w:rPr>
        <w:t>7.2 应急程序</w:t>
      </w:r>
      <w:bookmarkEnd w:id="96"/>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7.2.1 响应程序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四级应急响应程序即：</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发现→逐级上报→指挥长（或指挥机构）→启动预案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也就是说事故现场发现人员，及时逐级上报，企业相关领导和政府部门负责指挥协调应急抢险工作，并启动响应预案。</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企业环境应急指挥部指挥协调事故现场的主要内容包括：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（1）提出企业事故现场应急行动原则要求；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（2）协调各职能小组、各专业应急力量实施应急支援行动；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（3）严格督促受威胁的周边地区危险源的监控工作；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（4）划定建立现场警戒区和交通管制区域，确定重点防护区域；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（5）根据现场救援进展情况，确定被转移群众的疏散及返回时间；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（6）及时向上级主管部门报告应急行动的进展情况；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（7）如有必要，请示上级邀请有关专家和专业人员参与现场应急救援指挥部的应急指挥工作；</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7.2.2 应急指挥内容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企业环境应急指挥部指挥协调事故现场的主要内容包括：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（1）发生紧急事件，所有员工听从现场最高指挥者统一指挥、统一行动，有秩序的进行应急响应，要对事故现场应急行动提出原则要求；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（2）企业内的所有物资、工具、车辆、材料均以突发事件为第一保证目标，可授权现场最高指挥者随机调动，事后报告和补办手续；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（3）发生突发环境事件后，应以严防危险品扩散、保护现场人员安全、减轻环境污染为主要原则，其次考虑尽可能减少经济损失；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（4）严格加强受威胁的周边地区危险源的监控工作；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（5）划定建立现场警戒区和临时保护区，确定重点防护区域；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（6）根据现场监测结果和救援情况，确定被转移群众的疏散距离及返回时间；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（7）以新闻发布形式向外界及时准确、客观公正地发布有关抢险救援进展情况和其它有关信息；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（8）及时向上级主管部门报告应急行动的进展情况。</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7" w:name="_Toc29909_WPSOffice_Level1"/>
      <w:r>
        <w:rPr>
          <w:rFonts w:hint="eastAsia"/>
          <w:b w:val="0"/>
          <w:bCs w:val="0"/>
          <w:sz w:val="24"/>
          <w:szCs w:val="24"/>
        </w:rPr>
        <w:t>7.3 应急救援</w:t>
      </w:r>
      <w:bookmarkEnd w:id="97"/>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7.3.1 突发环境事故的疏散隔离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 xml:space="preserve">疏散隔离和安全保卫队主要负责事故发生时疏散与应急抢险无关的人员并将其统一撤离到安全距离以外，同时设置隔离警戒线。 </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（1）安全疏散及撤离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如果发生了与加药间药品爆炸有关的环境事件，需要人员及时撤离现场，应急领导小组就要迅速制定撤离路线。设定撤离路线的原则一般是沿着上风向或侧风向撤离到危险涉及范围之外（至少100m）。在安全距离内，疏散隔离和安全保卫队员要尽快设立警戒标志或警戒线，禁止无关人员擅自进入危险区。</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如发生大量废水外泄事故，需要组织人员及时与</w:t>
      </w:r>
      <w:r>
        <w:rPr>
          <w:rFonts w:hint="eastAsia" w:hAnsi="宋体"/>
          <w:b w:val="0"/>
          <w:bCs w:val="0"/>
          <w:sz w:val="24"/>
          <w:szCs w:val="24"/>
          <w:lang w:eastAsia="zh-CN"/>
        </w:rPr>
        <w:t>母猪河</w:t>
      </w:r>
      <w:r>
        <w:rPr>
          <w:rFonts w:hint="eastAsia" w:hAnsi="宋体"/>
          <w:b w:val="0"/>
          <w:bCs w:val="0"/>
          <w:sz w:val="24"/>
          <w:szCs w:val="24"/>
        </w:rPr>
        <w:t>下游村庄联系，对正在进行的渔业生产开启必要的防护措施，至少通知至下游2km范围。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（2）危险区的隔离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加药间火灾爆炸事故据公司实际储存量设置隔离距离，化学品泄漏时的隔离区域分为一、二、三级。</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一级区域：指现场危险源周围50米。在此距离内应设立警戒线。救援人员可根据实际情况进行适当的隔离危险化学品，杜绝扩散并采取稀释、中和、收容等适当措施。在此区域除救援小组成员外，禁止任何其他人进入。</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二级区域：距离危险源上风向50米以外至三级距离之间为二级区域。通常情况下，二级区域与危险源的距离应在150米左右。在二级区域内要设立专人监管。主要负责杜绝无关人员进入并督促区域内遗留人员的继续撤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三级区域：指在安全距离设立警戒点。通常情况下，三级区域与危险源的距离应在300米，距离外为安全距离。该距离至二级区域之间为三级区域。</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事故应急临时救援指挥部宜设在二级区域与三级区域之间有利于兼顾指挥与安全双重需要的地方。本公司应急指挥部可以设在处于二级区域与三级区域之间的厂区办公楼内。</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7.3.2 受伤人员救治方案</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lang w:val="en-US" w:eastAsia="zh-CN"/>
        </w:rPr>
        <w:t xml:space="preserve">    </w:t>
      </w:r>
      <w:r>
        <w:rPr>
          <w:rFonts w:hint="eastAsia" w:hAnsi="宋体"/>
          <w:b w:val="0"/>
          <w:bCs w:val="0"/>
          <w:sz w:val="24"/>
          <w:szCs w:val="24"/>
        </w:rPr>
        <w:t>对抢险过程溺水人员救治的应急措施如下</w:t>
      </w:r>
      <w:r>
        <w:rPr>
          <w:rFonts w:hint="eastAsia" w:hAnsi="宋体"/>
          <w:b w:val="0"/>
          <w:bCs w:val="0"/>
          <w:sz w:val="24"/>
          <w:szCs w:val="24"/>
          <w:lang w:eastAsia="zh-CN"/>
        </w:rPr>
        <w:t>：</w:t>
      </w:r>
      <w:r>
        <w:rPr>
          <w:rFonts w:hint="eastAsia" w:hAnsi="宋体"/>
          <w:b w:val="0"/>
          <w:bCs w:val="0"/>
          <w:sz w:val="24"/>
          <w:szCs w:val="24"/>
        </w:rPr>
        <w:t>发现有人溺水，把救生圈等扔给溺水者，拉他上岸。会游泳的应立即下水救人。如果溺水者的呼吸、心跳没停止，可以用半蹲姿势帮助溺水者 “控水”。 溺水严重，现场救治困难的，应迅速送到离现场最近的医院抢救。</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7.3.3 停电造成污水处理厂无法正常工作应急措施</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lang w:val="en-US" w:eastAsia="zh-CN"/>
        </w:rPr>
        <w:t xml:space="preserve">  </w:t>
      </w:r>
      <w:r>
        <w:rPr>
          <w:rFonts w:hint="eastAsia" w:hAnsi="宋体"/>
          <w:b w:val="0"/>
          <w:bCs w:val="0"/>
          <w:sz w:val="24"/>
          <w:szCs w:val="24"/>
          <w:lang w:eastAsia="zh-CN"/>
        </w:rPr>
        <w:t>（</w:t>
      </w:r>
      <w:r>
        <w:rPr>
          <w:rFonts w:hint="eastAsia" w:hAnsi="宋体"/>
          <w:b w:val="0"/>
          <w:bCs w:val="0"/>
          <w:sz w:val="24"/>
          <w:szCs w:val="24"/>
          <w:lang w:val="en-US" w:eastAsia="zh-CN"/>
        </w:rPr>
        <w:t>1</w:t>
      </w:r>
      <w:r>
        <w:rPr>
          <w:rFonts w:hint="eastAsia" w:hAnsi="宋体"/>
          <w:b w:val="0"/>
          <w:bCs w:val="0"/>
          <w:sz w:val="24"/>
          <w:szCs w:val="24"/>
          <w:lang w:eastAsia="zh-CN"/>
        </w:rPr>
        <w:t>）</w:t>
      </w:r>
      <w:r>
        <w:rPr>
          <w:rFonts w:hint="eastAsia" w:hAnsi="宋体"/>
          <w:b w:val="0"/>
          <w:bCs w:val="0"/>
          <w:sz w:val="24"/>
          <w:szCs w:val="24"/>
        </w:rPr>
        <w:t>计划停电事故应急预案</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得知停电计划后，班组负责人立即向污水厂负责人报告，污水厂负责人及时进行电力协调及现场考察，由单位负责人启动Ⅲ级响应和Ⅲ级应急预案。同时，及时上报应急领导小组，应急指挥长根据事态发展的情况，决定是否启动Ⅱ级响应和Ⅱ级应急预案。</w:t>
      </w:r>
    </w:p>
    <w:p>
      <w:pPr>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hAnsi="宋体"/>
          <w:b w:val="0"/>
          <w:bCs w:val="0"/>
          <w:sz w:val="24"/>
          <w:szCs w:val="24"/>
        </w:rPr>
      </w:pPr>
      <w:r>
        <w:rPr>
          <w:rFonts w:hint="eastAsia" w:hAnsi="宋体"/>
          <w:b w:val="0"/>
          <w:bCs w:val="0"/>
          <w:sz w:val="24"/>
          <w:szCs w:val="24"/>
        </w:rPr>
        <w:t>（2）临时停电应采取以下措施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当现场人员发现电力故障造成停电，发现人员应：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① 立即上报：现场发现人员立即向当班负责人报告，当班负责人根据停电维修严重程度和波及范围在5分钟内向公司应急领导小组报告，由应急指挥长决定启动Ⅲ级响应和Ⅲ级应急预案（由应急工作领导小组指挥长指挥协调整体应急抢险工作），根据事态发展情况，决定是否上报当地政府和</w:t>
      </w:r>
      <w:r>
        <w:rPr>
          <w:rFonts w:hint="eastAsia" w:hAnsi="宋体"/>
          <w:b w:val="0"/>
          <w:bCs w:val="0"/>
          <w:sz w:val="24"/>
          <w:szCs w:val="24"/>
          <w:lang w:eastAsia="zh-CN"/>
        </w:rPr>
        <w:t>环保局</w:t>
      </w:r>
      <w:r>
        <w:rPr>
          <w:rFonts w:hint="eastAsia" w:hAnsi="宋体"/>
          <w:b w:val="0"/>
          <w:bCs w:val="0"/>
          <w:sz w:val="24"/>
          <w:szCs w:val="24"/>
        </w:rPr>
        <w:t>；接到报告后根据事态的进一步发展，决定是否启动Ⅱ级响应和Ⅱ级应急预案。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② 现场处置：积极组织力量维修，启动备用</w:t>
      </w:r>
      <w:r>
        <w:rPr>
          <w:rFonts w:hint="eastAsia" w:hAnsi="宋体"/>
          <w:b w:val="0"/>
          <w:bCs w:val="0"/>
          <w:sz w:val="24"/>
          <w:szCs w:val="24"/>
          <w:lang w:eastAsia="zh-CN"/>
        </w:rPr>
        <w:t>电源</w:t>
      </w:r>
      <w:r>
        <w:rPr>
          <w:rFonts w:hint="eastAsia" w:hAnsi="宋体"/>
          <w:b w:val="0"/>
          <w:bCs w:val="0"/>
          <w:sz w:val="24"/>
          <w:szCs w:val="24"/>
        </w:rPr>
        <w:t>，并立即与电力部门取得联系；污水临时存放在事故池内，待事故排除后再将污水重新提升至污水处理厂。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③ 环境监测人员迅速赶到事故现场监测污水厂出水水质情况，并详细记录好监测数据，以备应急领导小组参考。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④事故排除后，环境监测人员持续监测出水环境状况，机械设备抢修人员负责对设备进行全面的维修保养，确保环境与设备全部安全后方可恢复生产；善后处理队负责进行事故原因调查和全面的设备安全检查，询问事故发现人有关情况，包括电力设备运行情况、故障部位等。</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7.3.4企业化学品泄漏引发的环境事故的应急措施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w:t>
      </w:r>
      <w:r>
        <w:rPr>
          <w:rFonts w:hint="eastAsia" w:hAnsi="宋体"/>
          <w:b w:val="0"/>
          <w:bCs w:val="0"/>
          <w:sz w:val="24"/>
          <w:szCs w:val="24"/>
          <w:lang w:eastAsia="zh-CN"/>
        </w:rPr>
        <w:t>聚合氯化铝</w:t>
      </w:r>
      <w:r>
        <w:rPr>
          <w:rFonts w:hint="eastAsia" w:hAnsi="宋体"/>
          <w:b w:val="0"/>
          <w:bCs w:val="0"/>
          <w:sz w:val="24"/>
          <w:szCs w:val="24"/>
        </w:rPr>
        <w:t>的应急处置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应急处理： 隔离泄漏污染区，限制出入。应急处理人员戴防毒面具（全面罩）、穿防毒服，不要直接接触泄漏物。可以用大量水冲洗，洗水稀释后放入污水处理系统。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w:t>
      </w:r>
      <w:r>
        <w:rPr>
          <w:rFonts w:hint="eastAsia" w:hAnsi="宋体"/>
          <w:b w:val="0"/>
          <w:bCs w:val="0"/>
          <w:sz w:val="24"/>
          <w:szCs w:val="24"/>
          <w:lang w:eastAsia="zh-CN"/>
        </w:rPr>
        <w:t>乙酸钠</w:t>
      </w:r>
      <w:r>
        <w:rPr>
          <w:rFonts w:hint="eastAsia" w:hAnsi="宋体"/>
          <w:b w:val="0"/>
          <w:bCs w:val="0"/>
          <w:sz w:val="24"/>
          <w:szCs w:val="24"/>
        </w:rPr>
        <w:t>的应急处置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一般环境事件：由于管道或储罐老化锈蚀，出现密封不严或缝隙</w:t>
      </w:r>
      <w:r>
        <w:rPr>
          <w:rFonts w:hint="eastAsia" w:hAnsi="宋体"/>
          <w:b w:val="0"/>
          <w:bCs w:val="0"/>
          <w:color w:val="auto"/>
          <w:sz w:val="24"/>
          <w:szCs w:val="24"/>
        </w:rPr>
        <w:t>而使</w:t>
      </w:r>
      <w:r>
        <w:rPr>
          <w:rFonts w:hint="eastAsia" w:hAnsi="宋体"/>
          <w:b w:val="0"/>
          <w:bCs w:val="0"/>
          <w:color w:val="auto"/>
          <w:sz w:val="24"/>
          <w:szCs w:val="24"/>
          <w:lang w:eastAsia="zh-CN"/>
        </w:rPr>
        <w:t>乙酸钠</w:t>
      </w:r>
      <w:r>
        <w:rPr>
          <w:rFonts w:hint="eastAsia" w:hAnsi="宋体"/>
          <w:b w:val="0"/>
          <w:bCs w:val="0"/>
          <w:color w:val="auto"/>
          <w:sz w:val="24"/>
          <w:szCs w:val="24"/>
        </w:rPr>
        <w:t>少量泄</w:t>
      </w:r>
      <w:r>
        <w:rPr>
          <w:rFonts w:hint="eastAsia" w:hAnsi="宋体"/>
          <w:b w:val="0"/>
          <w:bCs w:val="0"/>
          <w:sz w:val="24"/>
          <w:szCs w:val="24"/>
        </w:rPr>
        <w:t>漏。事故发现人在保证安全的前提下，</w:t>
      </w:r>
      <w:r>
        <w:rPr>
          <w:rFonts w:hint="eastAsia" w:hAnsi="宋体"/>
          <w:b w:val="0"/>
          <w:bCs w:val="0"/>
          <w:sz w:val="24"/>
          <w:szCs w:val="24"/>
          <w:lang w:eastAsia="zh-CN"/>
        </w:rPr>
        <w:t>用大量清水冲入下水道，排入前池</w:t>
      </w:r>
      <w:r>
        <w:rPr>
          <w:rFonts w:hint="eastAsia" w:hAnsi="宋体"/>
          <w:b w:val="0"/>
          <w:bCs w:val="0"/>
          <w:sz w:val="24"/>
          <w:szCs w:val="24"/>
        </w:rPr>
        <w:t>。然后通知车间当班负责人，在其指挥下，车间维修人员做好自身防护后，用堵漏材料进行堵漏或更换阀门。</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7.3.5设备故障应采取以下措施</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当现场人员发现设备故障而无备用设备或备用设备无法启用等情况时，要及时与应急领导小组联系：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（1）立即上报：现场发现人员立即向事故所在当班负责人报告，当班负责人根据设备故障严重程度在5分钟内向污水处理厂应急领导小组报告，由应急指挥长决定是否启动Ⅲ级响应和Ⅲ级应急预案</w:t>
      </w:r>
      <w:r>
        <w:rPr>
          <w:rFonts w:hint="eastAsia" w:hAnsi="宋体"/>
          <w:b w:val="0"/>
          <w:bCs w:val="0"/>
          <w:sz w:val="24"/>
          <w:szCs w:val="24"/>
          <w:lang w:eastAsia="zh-CN"/>
        </w:rPr>
        <w:t>，</w:t>
      </w:r>
      <w:r>
        <w:rPr>
          <w:rFonts w:hint="eastAsia" w:hAnsi="宋体"/>
          <w:b w:val="0"/>
          <w:bCs w:val="0"/>
          <w:sz w:val="24"/>
          <w:szCs w:val="24"/>
        </w:rPr>
        <w:t>根据事态发展情况，决定是否上报政府和</w:t>
      </w:r>
      <w:r>
        <w:rPr>
          <w:rFonts w:hint="eastAsia" w:hAnsi="宋体"/>
          <w:b w:val="0"/>
          <w:bCs w:val="0"/>
          <w:sz w:val="24"/>
          <w:szCs w:val="24"/>
          <w:lang w:eastAsia="zh-CN"/>
        </w:rPr>
        <w:t>环保局</w:t>
      </w:r>
      <w:r>
        <w:rPr>
          <w:rFonts w:hint="eastAsia" w:hAnsi="宋体"/>
          <w:b w:val="0"/>
          <w:bCs w:val="0"/>
          <w:sz w:val="24"/>
          <w:szCs w:val="24"/>
        </w:rPr>
        <w:t>；接到报告后</w:t>
      </w:r>
      <w:r>
        <w:rPr>
          <w:rFonts w:hint="eastAsia" w:hAnsi="宋体"/>
          <w:b w:val="0"/>
          <w:bCs w:val="0"/>
          <w:sz w:val="24"/>
          <w:szCs w:val="24"/>
          <w:lang w:eastAsia="zh-CN"/>
        </w:rPr>
        <w:t>环保局</w:t>
      </w:r>
      <w:r>
        <w:rPr>
          <w:rFonts w:hint="eastAsia" w:hAnsi="宋体"/>
          <w:b w:val="0"/>
          <w:bCs w:val="0"/>
          <w:sz w:val="24"/>
          <w:szCs w:val="24"/>
        </w:rPr>
        <w:t>根据事态的进一步发展，决定是否启动Ⅱ级响应和Ⅱ级应急预案。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现场处置：积极组织力量维修，采取相关措施在大修期间污水存放在调节池内，防止外排。同时，根据大修时间的长短及污水厂事故池、管网情况确定能否容纳大修期间入场的污水，如若不能则及时通知环保部门，提高排入污水处理厂企业的排放标准，确保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（3）环境监测人员迅速赶到事故现场监测污水厂出水水质情况，并监测下游河流控制断面水质，并详细记录好监测数据，以备应急领导小组参考。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事故排除后，环境监测人员持续监测出水环境状况，机械设备抢修人员负责对设备进行全面的维修保养，确保环境与设备全部安全后方可恢复生产；善后处理队负责进行事故原因调查和全面的设备安全检查，询问事故发现人有关情况，包括电力设备运行情况、故障部位等。</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7.3.6出水水质超标应急措施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（1）进水水质超标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本污水厂收纳的污水主要是城市</w:t>
      </w:r>
      <w:r>
        <w:rPr>
          <w:rFonts w:hint="eastAsia" w:hAnsi="宋体"/>
          <w:b w:val="0"/>
          <w:bCs w:val="0"/>
          <w:sz w:val="24"/>
          <w:szCs w:val="24"/>
          <w:lang w:eastAsia="zh-CN"/>
        </w:rPr>
        <w:t>生活</w:t>
      </w:r>
      <w:r>
        <w:rPr>
          <w:rFonts w:hint="eastAsia" w:hAnsi="宋体"/>
          <w:b w:val="0"/>
          <w:bCs w:val="0"/>
          <w:sz w:val="24"/>
          <w:szCs w:val="24"/>
        </w:rPr>
        <w:t>污水以及工业废水，如果排入的工业废水没有经预处理或者其他企业废水进入本污水厂，将导致本污水厂进水水质中COD或NH3-N超标，最终导致出水不达标，严重时影响下游生态环境。当有关人员发现进水水质出现异常时，应立即上报。工艺工程师必须到进水口和工艺处理环节仔细观察，分析原由，并向厂长报告。若确实进水水质异常，对工艺设备产生影响或出水水质产生影响，工艺工程师则根据现有工艺设备，组织各工段对工艺设备参数进行修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（2）二沉池异常状况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二沉池在运行过程中，处在十分重要的位置，一旦发现问题将直接影响出水水质，如果发现以下几种问题，应及时进行处理，以免发生更严重的问题。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①出水带有细小悬浮物颗粒，沉淀池局部沉淀效果不好。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a.水力负荷冲击或长期超负荷；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b.短流而减少了停留时间，以至絮体在沉淀前即流出出水堰；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c.进水中增加了某些难沉淀污染颗粒。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解决办法：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a.调节配水井的阀门，均匀分配水力负荷；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b.调整进水、出水设施的不均匀，减轻冲击负荷的影响，以利于克服短流现象；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c.适量调节投加的絮凝剂药量，改善某些难沉淀悬浮颗粒的沉降性能，如胶体或乳化油颗粒的絮凝。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②出水堰脏且出水不均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a.因污泥粘附、藻类长在堰上或浮渣等物体卡在堰口上，导致出水堰脏，甚至某些堰口堵塞出水不均。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解决办法：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a.经常清除出水堰口卡住的污物；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b.适当加氯消毒阻止污泥、藻类在堰口的生长积累。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③污泥上浮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a.污泥停留时间过长，有机质腐败；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b.二沉池中污泥反硝化，还原生成N2而使污泥上浮。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解决办法：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a.保证正常的贮存和排泥时间；检查排泥设备故障；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b.清除沉淀池内壁，部件或某些死角的污泥。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④浮渣溢流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a.浮渣去除装置位置不当或去除频次过低，浮渣停留时间长。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解决办法：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a.维修浮渣刮除装置；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b.调整浮渣刮除频率；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c.严格控制浮渣的产生量，减少其他构筑物腐败污泥或高浓度上清液的进入，克服污泥的上浮或藻类的过量生长。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⑤气泡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原因：二沉池中的污泥停留时间太长。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解决办法：加大出泥；重新回流。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（3）污泥膨胀或解体</w:t>
      </w:r>
      <w:r>
        <w:rPr>
          <w:rFonts w:hint="eastAsia" w:hAnsi="宋体"/>
          <w:b w:val="0"/>
          <w:bCs w:val="0"/>
          <w:sz w:val="24"/>
          <w:szCs w:val="24"/>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污泥膨胀可分为两大类，丝状菌性污泥膨胀和非丝状菌性污泥膨胀。前者是活性污泥絮体中的丝状菌过量繁殖导致的膨胀；后者主要在污水水温较低、污泥负荷较高的条件下，细菌摄取了大量营养物，由于温度低，代谢速度慢，积累大量高粘性多糖类物质(如葡萄糖、甘露糖等)，污泥中结合水异常增多，比重减轻，SVI值很高，压缩性能恶化而引起膨胀。污泥膨胀不仅影响出水水质，增大污泥的处理费用，而且极易引起大量污泥流失，严重时可导致整个处理工艺失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污泥解体是指活性污泥生物营养的平衡遭到破坏，使微生物量减少且失去活性，吸附能力降低，絮凝体缩小质密，一部分则成为不易沉淀的羽毛状污泥，处理水质混浊，SVI值降低等。污泥解散后将无法处理污水，严重时也会导致整个处理工艺失败。产生原因主要有工艺参数不当或有毒物质流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①丝状菌性污泥膨胀临时应急措施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作为应急措施，临时控制措施在未确定污泥膨胀的原因时采用，但无法从根本上解决污泥膨胀问题，并不是完全有效，并且该方法运行费用较高，停止加药后污泥膨胀又会反复。按投加试剂的类型可分为：混凝剂和化学药剂。通过投加混凝剂如聚合氯化铁，氢氧化铁，硫酸铁，硫酸铝，聚丙烯酰胺等无机或有机高分子混凝剂提高污泥的压密性来改善污泥的沉降性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②丝状菌性污泥膨胀工艺运行控制措施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本污水处理厂，经过长期生产实践逐渐找到一些控制方法：控制适宜的污泥负荷、回流比、污泥龄，调节污水的PH 值、水温、溶解氧等。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③污泥解体控制措施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一般可通过显微镜观察来判别产生的原因。当鉴别出是运行方面的问题时，应对污水量、回流污泥量、空气量和排泥状态以及SVI、MLSS、DO、等多项指标进行检查，加以调整。当确定是污水中混入有毒物质时，应考虑这是新的工业废水混入的结果，需查明来源，责成其按国家排放标准加以预处理。</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8" w:name="_Toc6809_WPSOffice_Level1"/>
      <w:r>
        <w:rPr>
          <w:rFonts w:hint="eastAsia"/>
          <w:b w:val="0"/>
          <w:bCs w:val="0"/>
          <w:sz w:val="24"/>
          <w:szCs w:val="24"/>
        </w:rPr>
        <w:t>7.4 应急监测</w:t>
      </w:r>
      <w:bookmarkEnd w:id="98"/>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重大环境危险事故发生、抢险应急的同时，环境监测队负责监测人员对事故现场进行侦察检测，掌握超标污水扩散区域，附近水系分布及流向；对厂区周围地表水和地下水进行化验，采取一切措施降低污染物浓度直至达到国家排放标准。具体布点、采样内容如下：</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1）若污水处理厂由于各种故障造成超标污水大量排放，应在洛河各控制断面进行应急监测，监测因子主要为pH值、COD、氨氮、总磷、总氮、SS、大肠菌群等，监测频次为至少1次/h。布点为污水处理厂上有500m，下游1000m及控制断面。</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（2）若加药间发生爆炸事故，应组织对厂区周边环境空气质量进行监测。并</w:t>
      </w:r>
      <w:r>
        <w:rPr>
          <w:rFonts w:hint="eastAsia" w:hAnsi="宋体"/>
          <w:b w:val="0"/>
          <w:bCs w:val="0"/>
          <w:color w:val="auto"/>
          <w:sz w:val="24"/>
          <w:szCs w:val="24"/>
        </w:rPr>
        <w:t>组织对</w:t>
      </w:r>
      <w:r>
        <w:rPr>
          <w:rFonts w:hint="eastAsia" w:hAnsi="宋体"/>
          <w:b w:val="0"/>
          <w:bCs w:val="0"/>
          <w:color w:val="auto"/>
          <w:sz w:val="24"/>
          <w:szCs w:val="24"/>
          <w:lang w:eastAsia="zh-CN"/>
        </w:rPr>
        <w:t>母猪河</w:t>
      </w:r>
      <w:r>
        <w:rPr>
          <w:rFonts w:hint="eastAsia" w:hAnsi="宋体"/>
          <w:b w:val="0"/>
          <w:bCs w:val="0"/>
          <w:color w:val="auto"/>
          <w:sz w:val="24"/>
          <w:szCs w:val="24"/>
        </w:rPr>
        <w:t>游</w:t>
      </w:r>
      <w:r>
        <w:rPr>
          <w:rFonts w:hint="eastAsia" w:hAnsi="宋体"/>
          <w:b w:val="0"/>
          <w:bCs w:val="0"/>
          <w:sz w:val="24"/>
          <w:szCs w:val="24"/>
        </w:rPr>
        <w:t>控制断面进行监测，监测频次为至少1次/h。</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通过监测和监控结果随时判断突发环境污染事件的变化趋势，为突发环境事件应急决策提供客观依据。</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99" w:name="_Toc1240_WPSOffice_Level1"/>
      <w:r>
        <w:rPr>
          <w:rFonts w:hint="eastAsia"/>
          <w:b w:val="0"/>
          <w:bCs w:val="0"/>
          <w:sz w:val="24"/>
          <w:szCs w:val="24"/>
        </w:rPr>
        <w:t>7.5 信息发布</w:t>
      </w:r>
      <w:bookmarkEnd w:id="99"/>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突发环境事件发生后，要及时发布准确、权威的信息，正确引导社会舆论。</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0" w:name="_Toc6701_WPSOffice_Level1"/>
      <w:r>
        <w:rPr>
          <w:rFonts w:hint="eastAsia"/>
          <w:b w:val="0"/>
          <w:bCs w:val="0"/>
          <w:sz w:val="24"/>
          <w:szCs w:val="24"/>
        </w:rPr>
        <w:t>7.6 应急结束</w:t>
      </w:r>
      <w:bookmarkEnd w:id="100"/>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7.6.1 应急终止的条件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当对发生事故进行一系列处理后，符合下列条件之一的，即满足应急终止条件：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（1）事件现场得到控制，事件条件已经消除；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（2）污染源的泄漏或释放已降至规定限值以内；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（3）事件所造成的危害已经被彻底消除，无继发可能；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（4）事件现场的各种专业应急处置行动已无继续的必要；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（5）采取了必要的防护措施，保护公众免受再次危害，并使事件可能引起的中长期影响趋于合理乃至尽量低的水平。</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7.6.2 应急终止的程序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（1）现场救援指挥部根据应急事故的处理，当符合上述规定中任何一种情况，即可确认终止应急，或由发生事件的责任单位提出，经现场救援指挥部批准；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（2）现场救援指挥部可向所属各专业救援队伍下达应急终止命令；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（3）应急状态终止后，相关类别环境事件专业应急指挥部应根据政府相关部门的有关指示和实际情况，继续进行环境监测和评价工作，直至其他补救措施无需继续进行为止。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7.6.3 应急终止后的行动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（1）事故发生地相关政府或本企业有关部门查找事件原因，防止类似问题的重复出现；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（2）有关类别环境事件专业主管部门负责编制重大、较大环境事件总结报告，于应急终止后上报；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（3）根据实践经验，有关类别环境事件专业主管部门负责组织对应急预案进行评估，并及时修订环境应急预案；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（4）参加应急行动的部门负责组织、指导环境应急队伍维护、保养应急仪器设备，使之始终保持良好的技术状态。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（5）物资供应组应增补应急物资使之满足下次应急需要。</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1" w:name="_Toc27111_WPSOffice_Level1"/>
      <w:r>
        <w:rPr>
          <w:rFonts w:hint="eastAsia"/>
          <w:b w:val="0"/>
          <w:bCs w:val="0"/>
          <w:sz w:val="24"/>
          <w:szCs w:val="24"/>
        </w:rPr>
        <w:t>8后期处置</w:t>
      </w:r>
      <w:bookmarkEnd w:id="101"/>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应急行动结束后，企业要做好突发环境事件的善后工作主要包括：人员安置及损失赔偿、生态环境恢复、经验教训总结及应急方案改进等内容。</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2" w:name="_Toc26557_WPSOffice_Level1"/>
      <w:r>
        <w:rPr>
          <w:rFonts w:hint="eastAsia"/>
          <w:b w:val="0"/>
          <w:bCs w:val="0"/>
          <w:sz w:val="24"/>
          <w:szCs w:val="24"/>
        </w:rPr>
        <w:t>8.1 人员安置及损失赔偿</w:t>
      </w:r>
      <w:bookmarkEnd w:id="102"/>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做好受灾人员的安置工作，对全企业员工做好精神安抚工作，对受伤严重人员继续治疗，并及时对环境应急工作人员办理意外伤害保险赔偿事宜。以保证企业人心稳定，快速投入正常生产。</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3" w:name="_Toc4765_WPSOffice_Level1"/>
      <w:r>
        <w:rPr>
          <w:rFonts w:hint="eastAsia"/>
          <w:b w:val="0"/>
          <w:bCs w:val="0"/>
          <w:sz w:val="24"/>
          <w:szCs w:val="24"/>
        </w:rPr>
        <w:t>8.2 生态环境恢复</w:t>
      </w:r>
      <w:bookmarkEnd w:id="10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对受灾范围进行科学评估，并对遭受污染的生态环境进行恢复。</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本企业可能造成的环境问题主要是大气、地表水、地下水、土壤及植被的污染，并对受污染范围内大气、地表水、地下水、土壤质量进行连续监测，直至达到正常指标；对事故产生废水经污水处理设施处理达标后继续回用；若对环境造成重大影响时可以组织专家进行科学评估，并对受污染的生态环境提出相应的恢复建议。企业根据专家建议，对生态环境进行恢复。</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4" w:name="_Toc8834_WPSOffice_Level1"/>
      <w:r>
        <w:rPr>
          <w:rFonts w:hint="eastAsia"/>
          <w:b w:val="0"/>
          <w:bCs w:val="0"/>
          <w:sz w:val="24"/>
          <w:szCs w:val="24"/>
        </w:rPr>
        <w:t>8.3 事故调查报告和经验教训总结及改进建议</w:t>
      </w:r>
      <w:bookmarkEnd w:id="104"/>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企业在进行现场应急的同时，应急领导小组办公室就要抓紧进行现场调查取证工作，全面收集有关事故发生的原因，危害及其损失等方面的证据和资料，必要时要组织有关部门和专业技术人员进行技术鉴定，对于涉及刑事犯罪的，应当请求公安司法部门介入和参与调查取证工作。</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现场应急处理工作告一段落后，由领导小组办公室根据调查取证情况，依据相关制度，拟定追究事故责任部门和责任人的意见，报领导小组审批，对于触犯刑法的，移交司法机关追究刑事责任。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突发环境事件善后处置工作结束后，现场应急救援指挥部认真分析总结事故经验教训，提出改进应急救援工作的建议。根据调查所获得数据，以及事件发生的原因、过程、进展情况及采取的应急措施等基本情况，填写突发环境事件报告单（见附件），以书面形式报告处理事件的措施、过程和结果，事件潜在或间接的危害、社会影响、处理后的遗留问题，参加处理工作的有关部门和工作内容，最终形成应急救援总结报告及时上报上级有关部门备案。</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5" w:name="_Toc2100_WPSOffice_Level1"/>
      <w:r>
        <w:rPr>
          <w:rFonts w:hint="eastAsia"/>
          <w:b w:val="0"/>
          <w:bCs w:val="0"/>
          <w:sz w:val="24"/>
          <w:szCs w:val="24"/>
        </w:rPr>
        <w:t>9应急培训和演习</w:t>
      </w:r>
      <w:bookmarkEnd w:id="105"/>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6" w:name="_Toc554_WPSOffice_Level1"/>
      <w:r>
        <w:rPr>
          <w:rFonts w:hint="eastAsia"/>
          <w:b w:val="0"/>
          <w:bCs w:val="0"/>
          <w:sz w:val="24"/>
          <w:szCs w:val="24"/>
        </w:rPr>
        <w:t>9.1 原则、目的、作用及范围</w:t>
      </w:r>
      <w:bookmarkEnd w:id="106"/>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9.1.1 应急培训和演习的原则</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应急演习类型有多种，不同类型的应急演习虽有不同特点，但在策划演习内容、演习情景、演习频次、演习评价方法等工作时，必须遵守相关法律、法规、标准和应急预案规定；在组织实施演习过程中，必须满足“领导重视、科学计划、结合实际、突出重点、周密组织、统一指挥、分步实施、讲究实效”的原则。</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9.1.2 应急培训和演习的目的</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应急培训和演习的目的是通过培训、评估、改进等手段，提高本预案的可操作性；提高应急救援人员的工作水平与应急救援队伍的反应和衔接配合的协调能力；增强干部职工应对突发事件的心理素质，有效发挥应急预案的防范和化解风险的作用；提高企业对环境事件的综合应急能力。具体包括以下3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（1）检验预案的实用性和可行性，为预案的修订和完善提供依据；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（2）检验企业各级领导、员工是否明确自己的职责和应急行动程序，以及各专业队伍间的协同反应能力和实战能力；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（3）提高人们抵抗事故的能力和对事故的警惕性，有效降低或消除危害后果、减少事故损失。</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9.1.3 应急演习的作用及对象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重大事故应急演习是一项经常性的工作。正确运用可以发挥如下作用：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（1）评估企业应急准备状态，发现并及时修改应急预案和执行程序中的缺陷和不足；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（2）评估企业重大事故应急能力，识别资源需求，澄清相关机构、组织和人员的职责，改善不同机构、组织和人员之间的协调关系；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（3）检验应急响应人员对应急预案、执行程序的了解程度和实际操作技能，评估应急培训效果，分析培训需求。同时，作为一种培训手段，通过调整演习难度，进一步提高应急响应人员的应急素质和能力；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（4）促进企业各级领导和员工对应急预案的理解，争取他们对重大事故应急工作的支持。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本企业应急培训和演习的对象主要是本企业范围内员工，以应急救援人员为主。</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7" w:name="_Toc4498_WPSOffice_Level1"/>
      <w:r>
        <w:rPr>
          <w:rFonts w:hint="eastAsia"/>
          <w:b w:val="0"/>
          <w:bCs w:val="0"/>
          <w:sz w:val="24"/>
          <w:szCs w:val="24"/>
        </w:rPr>
        <w:t>9.2 应急培训的基本内容</w:t>
      </w:r>
      <w:bookmarkEnd w:id="10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hAnsi="宋体"/>
          <w:b w:val="0"/>
          <w:bCs w:val="0"/>
          <w:sz w:val="24"/>
          <w:szCs w:val="24"/>
        </w:rPr>
      </w:pPr>
      <w:r>
        <w:rPr>
          <w:rFonts w:hint="eastAsia" w:hAnsi="宋体"/>
          <w:b w:val="0"/>
          <w:bCs w:val="0"/>
          <w:sz w:val="24"/>
          <w:szCs w:val="24"/>
        </w:rPr>
        <w:t>定期对企业应急救援队伍开展基本的应急培训是十分必要和重要的。它有益于提高参与应急行动的所有相关人员最低程度的应急能力。有益于应急人员了解和掌握如何识别危险、如何采取必要的应急措施、如何启动紧急情况警报系统、如何安全疏散人群等基本操作。因此，培训中要强调危险物事故的不同应急水平和注意事项等方面的内容。</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8" w:name="_Toc12336_WPSOffice_Level1"/>
      <w:r>
        <w:rPr>
          <w:rFonts w:hint="eastAsia"/>
          <w:b w:val="0"/>
          <w:bCs w:val="0"/>
          <w:sz w:val="24"/>
          <w:szCs w:val="24"/>
        </w:rPr>
        <w:t>9.3 应急演习分类</w:t>
      </w:r>
      <w:bookmarkEnd w:id="108"/>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应急演习根据演习规模不同总的可以分为桌面演习、功能演习和全面演习。下面具体介绍：</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9.3.1 桌面演习（口头演习）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桌面演习的特点是对演习情景进行口头演习，一般是在会议室内举行。由应急组织的代表或关键岗位人员参加的，按照应急预案及其标准工作程序，讨论紧急情况时应采取行动的演习活动。其主要目的是锻炼参演人员解决问题的能力，以及解决应急组织相互协作和职责划分的问题。</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9.3.2 功能演习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功能演习主要目的是针对应急响应功能，检验应急人员以及应急体系的策划和响应能力为主。功能演习比桌面演习规模要大，主要针对需动员更多的应急人员、机构和更多组织的参与。一般情况下不在单个工段内部开展功能演习。</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9.3.3 全面演习</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全面演习是针对应急预案中全部或大部分应急响应功能开展的检验、评价，是对应急组织应急运行能力的演习活动。全面演习一般要求持续几个小时，采取交流互动方式进行。演习过程要求尽量真实，辐射的内容要尽可能全面，调用的应急人员和资源尽可能多。同时要对人员、设备、行动及其他相关方面开展实战性演习，以检验各部门间相互协调的应急响应能力。全面演习完成后，除采取口头评论、报告外，还应提交正式的书面报告。</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09" w:name="_Toc24523_WPSOffice_Level1"/>
      <w:r>
        <w:rPr>
          <w:rFonts w:hint="eastAsia"/>
          <w:b w:val="0"/>
          <w:bCs w:val="0"/>
          <w:sz w:val="24"/>
          <w:szCs w:val="24"/>
        </w:rPr>
        <w:t>10附  则</w:t>
      </w:r>
      <w:bookmarkEnd w:id="109"/>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10" w:name="_Toc6347_WPSOffice_Level1"/>
      <w:r>
        <w:rPr>
          <w:rFonts w:hint="eastAsia"/>
          <w:b w:val="0"/>
          <w:bCs w:val="0"/>
          <w:sz w:val="24"/>
          <w:szCs w:val="24"/>
        </w:rPr>
        <w:t>10.1 预案管理与更新</w:t>
      </w:r>
      <w:bookmarkEnd w:id="110"/>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按照国家相关规定要求定期进行预案的评审、备案、发布和更新。及时到文登区环保局备案。</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11" w:name="_Toc6086_WPSOffice_Level1"/>
      <w:r>
        <w:rPr>
          <w:rFonts w:hint="eastAsia"/>
          <w:b w:val="0"/>
          <w:bCs w:val="0"/>
          <w:sz w:val="24"/>
          <w:szCs w:val="24"/>
        </w:rPr>
        <w:t>10.2 地方沟通与协作</w:t>
      </w:r>
      <w:bookmarkEnd w:id="111"/>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建立与地方环境应急机构的联系，组织参与地方救援活动，开展与之相关的交流与合作。</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12" w:name="_Toc22675_WPSOffice_Level1"/>
      <w:r>
        <w:rPr>
          <w:rFonts w:hint="eastAsia"/>
          <w:b w:val="0"/>
          <w:bCs w:val="0"/>
          <w:sz w:val="24"/>
          <w:szCs w:val="24"/>
        </w:rPr>
        <w:t>10.3 奖励与责任追究</w:t>
      </w:r>
      <w:bookmarkEnd w:id="112"/>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10.3.1 奖励</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在突发性环境污染事故应急救援工作中，对在抢险救援工作方面做出较大贡献的，应依据有关规定给予奖励。</w:t>
      </w:r>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10.3.2 责任追究</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在突发性环境污染事故应急工作中，按照有关法律和规定，对工作不负责任的有关人员视情节和危害后果，追究相应的责任。</w:t>
      </w:r>
    </w:p>
    <w:p>
      <w:pPr>
        <w:pStyle w:val="3"/>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13" w:name="_Toc27104_WPSOffice_Level1"/>
      <w:r>
        <w:rPr>
          <w:rFonts w:hint="eastAsia"/>
          <w:b w:val="0"/>
          <w:bCs w:val="0"/>
          <w:sz w:val="24"/>
          <w:szCs w:val="24"/>
        </w:rPr>
        <w:t>10.4 预案实施时间</w:t>
      </w:r>
      <w:bookmarkEnd w:id="113"/>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b w:val="0"/>
          <w:bCs w:val="0"/>
          <w:sz w:val="24"/>
          <w:szCs w:val="24"/>
        </w:rPr>
      </w:pPr>
      <w:r>
        <w:rPr>
          <w:rFonts w:hint="eastAsia" w:hAnsi="宋体"/>
          <w:b w:val="0"/>
          <w:bCs w:val="0"/>
          <w:sz w:val="24"/>
          <w:szCs w:val="24"/>
        </w:rPr>
        <w:t>本预案自印发之日起施行。</w:t>
      </w:r>
    </w:p>
    <w:p>
      <w:pPr>
        <w:pStyle w:val="2"/>
        <w:pageBreakBefore w:val="0"/>
        <w:widowControl w:val="0"/>
        <w:kinsoku/>
        <w:wordWrap/>
        <w:overflowPunct/>
        <w:topLinePunct w:val="0"/>
        <w:autoSpaceDE/>
        <w:autoSpaceDN/>
        <w:bidi w:val="0"/>
        <w:adjustRightInd/>
        <w:snapToGrid/>
        <w:spacing w:line="360" w:lineRule="auto"/>
        <w:textAlignment w:val="auto"/>
        <w:rPr>
          <w:rFonts w:hint="eastAsia"/>
          <w:b w:val="0"/>
          <w:bCs w:val="0"/>
          <w:sz w:val="24"/>
          <w:szCs w:val="24"/>
        </w:rPr>
      </w:pPr>
      <w:bookmarkStart w:id="114" w:name="_Toc21517_WPSOffice_Level1"/>
      <w:r>
        <w:rPr>
          <w:rFonts w:hint="eastAsia"/>
          <w:b w:val="0"/>
          <w:bCs w:val="0"/>
          <w:sz w:val="24"/>
          <w:szCs w:val="24"/>
        </w:rPr>
        <w:t>11附件</w:t>
      </w:r>
      <w:bookmarkEnd w:id="114"/>
    </w:p>
    <w:p>
      <w:pPr>
        <w:pageBreakBefore w:val="0"/>
        <w:widowControl w:val="0"/>
        <w:kinsoku/>
        <w:wordWrap/>
        <w:overflowPunct/>
        <w:topLinePunct w:val="0"/>
        <w:autoSpaceDE/>
        <w:autoSpaceDN/>
        <w:bidi w:val="0"/>
        <w:adjustRightInd/>
        <w:snapToGrid/>
        <w:spacing w:line="360" w:lineRule="auto"/>
        <w:textAlignment w:val="auto"/>
        <w:rPr>
          <w:rFonts w:hint="eastAsia" w:hAnsi="宋体"/>
          <w:b w:val="0"/>
          <w:bCs w:val="0"/>
          <w:sz w:val="24"/>
          <w:szCs w:val="24"/>
        </w:rPr>
      </w:pPr>
      <w:r>
        <w:rPr>
          <w:rFonts w:hint="eastAsia" w:hAnsi="宋体"/>
          <w:b w:val="0"/>
          <w:bCs w:val="0"/>
          <w:sz w:val="24"/>
          <w:szCs w:val="24"/>
        </w:rPr>
        <w:t>厂区平面布置图</w:t>
      </w:r>
    </w:p>
    <w:p>
      <w:pPr>
        <w:rPr>
          <w:rFonts w:hint="eastAsia" w:hAnsi="宋体"/>
          <w:sz w:val="28"/>
          <w:szCs w:val="28"/>
        </w:rPr>
      </w:pPr>
    </w:p>
    <w:p>
      <w:pPr>
        <w:pStyle w:val="2"/>
        <w:rPr>
          <w:rFonts w:hint="eastAsia"/>
        </w:rPr>
      </w:pPr>
    </w:p>
    <w:p>
      <w:pPr>
        <w:spacing w:line="360" w:lineRule="auto"/>
        <w:rPr>
          <w:rFonts w:hint="eastAsia" w:hAnsi="宋体"/>
          <w:sz w:val="24"/>
        </w:rPr>
      </w:pPr>
      <w:r>
        <w:rPr>
          <w:rFonts w:ascii="Times New Roman" w:hAnsi="Times New Roman"/>
        </w:rPr>
        <w:drawing>
          <wp:inline distT="0" distB="0" distL="114300" distR="114300">
            <wp:extent cx="6176645" cy="3252470"/>
            <wp:effectExtent l="0" t="0" r="1460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176645" cy="3252470"/>
                    </a:xfrm>
                    <a:prstGeom prst="rect">
                      <a:avLst/>
                    </a:prstGeom>
                    <a:noFill/>
                    <a:ln>
                      <a:noFill/>
                    </a:ln>
                  </pic:spPr>
                </pic:pic>
              </a:graphicData>
            </a:graphic>
          </wp:inline>
        </w:drawing>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theme="minorBidi"/>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六、</w:t>
      </w:r>
      <w:r>
        <w:rPr>
          <w:rFonts w:hint="eastAsia" w:ascii="宋体" w:hAnsi="宋体" w:eastAsiaTheme="minorEastAsia" w:cstheme="minorBidi"/>
          <w:kern w:val="2"/>
          <w:sz w:val="24"/>
          <w:szCs w:val="24"/>
          <w:lang w:val="en-US" w:eastAsia="zh-CN" w:bidi="ar-SA"/>
        </w:rPr>
        <w:t>自行监测方案</w:t>
      </w:r>
    </w:p>
    <w:p>
      <w:pPr>
        <w:jc w:val="center"/>
        <w:rPr>
          <w:rFonts w:ascii="黑体" w:hAnsi="黑体" w:eastAsia="黑体"/>
          <w:b/>
          <w:kern w:val="0"/>
          <w:sz w:val="44"/>
          <w:szCs w:val="44"/>
        </w:rPr>
      </w:pPr>
      <w:r>
        <w:rPr>
          <w:rFonts w:hint="eastAsia" w:ascii="黑体" w:hAnsi="黑体" w:eastAsia="黑体"/>
          <w:b/>
          <w:kern w:val="0"/>
          <w:sz w:val="44"/>
          <w:szCs w:val="44"/>
        </w:rPr>
        <w:t>文登创业水务有限公司</w:t>
      </w:r>
    </w:p>
    <w:p>
      <w:pPr>
        <w:jc w:val="center"/>
        <w:rPr>
          <w:rFonts w:ascii="黑体" w:hAnsi="黑体" w:eastAsia="黑体"/>
          <w:b/>
          <w:kern w:val="0"/>
          <w:sz w:val="44"/>
          <w:szCs w:val="44"/>
        </w:rPr>
      </w:pPr>
      <w:r>
        <w:rPr>
          <w:rFonts w:hint="eastAsia" w:ascii="黑体" w:hAnsi="黑体" w:eastAsia="黑体"/>
          <w:b/>
          <w:kern w:val="0"/>
          <w:sz w:val="44"/>
          <w:szCs w:val="44"/>
        </w:rPr>
        <w:t>自行监测方案</w:t>
      </w:r>
    </w:p>
    <w:p>
      <w:pPr>
        <w:pStyle w:val="15"/>
        <w:adjustRightInd w:val="0"/>
        <w:snapToGrid w:val="0"/>
        <w:spacing w:line="600" w:lineRule="exact"/>
        <w:ind w:firstLine="560"/>
        <w:outlineLvl w:val="0"/>
        <w:rPr>
          <w:rFonts w:ascii="宋体"/>
          <w:sz w:val="28"/>
          <w:szCs w:val="28"/>
        </w:rPr>
      </w:pPr>
      <w:r>
        <w:rPr>
          <w:rFonts w:hint="eastAsia" w:ascii="宋体" w:hAnsi="宋体"/>
          <w:sz w:val="28"/>
          <w:szCs w:val="28"/>
        </w:rPr>
        <w:t>根据《国家重点监控企业自行监测及信息公开办法（试行）》的规定，制定本公司自行监测方案。</w:t>
      </w:r>
    </w:p>
    <w:p>
      <w:pPr>
        <w:pStyle w:val="15"/>
        <w:adjustRightInd w:val="0"/>
        <w:snapToGrid w:val="0"/>
        <w:spacing w:line="600" w:lineRule="exact"/>
        <w:ind w:firstLine="640"/>
        <w:outlineLvl w:val="0"/>
        <w:rPr>
          <w:rFonts w:ascii="宋体"/>
          <w:sz w:val="32"/>
          <w:szCs w:val="32"/>
        </w:rPr>
      </w:pPr>
      <w:r>
        <w:rPr>
          <w:rFonts w:hint="eastAsia" w:ascii="宋体" w:hAnsi="宋体"/>
          <w:sz w:val="32"/>
          <w:szCs w:val="32"/>
        </w:rPr>
        <w:t>一、基本情况</w:t>
      </w:r>
    </w:p>
    <w:p>
      <w:pPr>
        <w:adjustRightInd w:val="0"/>
        <w:snapToGrid w:val="0"/>
        <w:spacing w:line="600" w:lineRule="exact"/>
        <w:ind w:firstLine="640" w:firstLineChars="200"/>
        <w:outlineLvl w:val="0"/>
        <w:rPr>
          <w:rFonts w:ascii="宋体"/>
          <w:sz w:val="32"/>
          <w:szCs w:val="32"/>
        </w:rPr>
      </w:pPr>
      <w:r>
        <w:rPr>
          <w:rFonts w:hint="eastAsia" w:ascii="宋体" w:hAnsi="宋体"/>
          <w:sz w:val="32"/>
          <w:szCs w:val="32"/>
        </w:rPr>
        <w:t>（一）企业情况</w:t>
      </w:r>
    </w:p>
    <w:p>
      <w:pPr>
        <w:spacing w:line="360" w:lineRule="auto"/>
        <w:ind w:firstLine="560" w:firstLineChars="200"/>
        <w:rPr>
          <w:sz w:val="28"/>
          <w:szCs w:val="28"/>
        </w:rPr>
      </w:pPr>
      <w:r>
        <w:rPr>
          <w:rFonts w:hint="eastAsia"/>
          <w:sz w:val="28"/>
          <w:szCs w:val="28"/>
        </w:rPr>
        <w:t>文登创业水务有限公司成立于</w:t>
      </w:r>
      <w:r>
        <w:rPr>
          <w:sz w:val="28"/>
          <w:szCs w:val="28"/>
        </w:rPr>
        <w:t>2007</w:t>
      </w:r>
      <w:r>
        <w:rPr>
          <w:rFonts w:hint="eastAsia"/>
          <w:sz w:val="28"/>
          <w:szCs w:val="28"/>
        </w:rPr>
        <w:t>年</w:t>
      </w:r>
      <w:r>
        <w:rPr>
          <w:sz w:val="28"/>
          <w:szCs w:val="28"/>
        </w:rPr>
        <w:t>4</w:t>
      </w:r>
      <w:r>
        <w:rPr>
          <w:rFonts w:hint="eastAsia"/>
          <w:sz w:val="28"/>
          <w:szCs w:val="28"/>
        </w:rPr>
        <w:t>月</w:t>
      </w:r>
      <w:r>
        <w:rPr>
          <w:sz w:val="28"/>
          <w:szCs w:val="28"/>
        </w:rPr>
        <w:t>24</w:t>
      </w:r>
      <w:r>
        <w:rPr>
          <w:rFonts w:hint="eastAsia"/>
          <w:sz w:val="28"/>
          <w:szCs w:val="28"/>
        </w:rPr>
        <w:t>日，注册资本为人民币6140万元，为天津创业环保集团股份有限公司全资子公司。</w:t>
      </w:r>
      <w:r>
        <w:rPr>
          <w:sz w:val="28"/>
          <w:szCs w:val="28"/>
        </w:rPr>
        <w:t>2007</w:t>
      </w:r>
      <w:r>
        <w:rPr>
          <w:rFonts w:hint="eastAsia"/>
          <w:sz w:val="28"/>
          <w:szCs w:val="28"/>
        </w:rPr>
        <w:t>年</w:t>
      </w:r>
      <w:r>
        <w:rPr>
          <w:sz w:val="28"/>
          <w:szCs w:val="28"/>
        </w:rPr>
        <w:t>12</w:t>
      </w:r>
      <w:r>
        <w:rPr>
          <w:rFonts w:hint="eastAsia"/>
          <w:sz w:val="28"/>
          <w:szCs w:val="28"/>
        </w:rPr>
        <w:t>月，文登公司与文登市建设局签订特许经营协议，以</w:t>
      </w:r>
      <w:r>
        <w:rPr>
          <w:sz w:val="28"/>
          <w:szCs w:val="28"/>
        </w:rPr>
        <w:t>TOT</w:t>
      </w:r>
      <w:r>
        <w:rPr>
          <w:rFonts w:hint="eastAsia"/>
          <w:sz w:val="28"/>
          <w:szCs w:val="28"/>
        </w:rPr>
        <w:t>模式运营原文登市污水处理厂，项目总投资为</w:t>
      </w:r>
      <w:r>
        <w:rPr>
          <w:sz w:val="28"/>
          <w:szCs w:val="28"/>
        </w:rPr>
        <w:t>1.2</w:t>
      </w:r>
      <w:r>
        <w:rPr>
          <w:rFonts w:hint="eastAsia"/>
          <w:sz w:val="28"/>
          <w:szCs w:val="28"/>
        </w:rPr>
        <w:t>亿元人民币，特许经营期限为</w:t>
      </w:r>
      <w:r>
        <w:rPr>
          <w:sz w:val="28"/>
          <w:szCs w:val="28"/>
        </w:rPr>
        <w:t>30</w:t>
      </w:r>
      <w:r>
        <w:rPr>
          <w:rFonts w:hint="eastAsia"/>
          <w:sz w:val="28"/>
          <w:szCs w:val="28"/>
        </w:rPr>
        <w:t>年。</w:t>
      </w:r>
      <w:r>
        <w:rPr>
          <w:sz w:val="28"/>
          <w:szCs w:val="28"/>
        </w:rPr>
        <w:t xml:space="preserve"> 2008</w:t>
      </w:r>
      <w:r>
        <w:rPr>
          <w:rFonts w:hint="eastAsia"/>
          <w:sz w:val="28"/>
          <w:szCs w:val="28"/>
        </w:rPr>
        <w:t>年</w:t>
      </w:r>
      <w:r>
        <w:rPr>
          <w:sz w:val="28"/>
          <w:szCs w:val="28"/>
        </w:rPr>
        <w:t>1</w:t>
      </w:r>
      <w:r>
        <w:rPr>
          <w:rFonts w:hint="eastAsia"/>
          <w:sz w:val="28"/>
          <w:szCs w:val="28"/>
        </w:rPr>
        <w:t>月文登创业水务有限公司正式运营文登污水处理厂。</w:t>
      </w:r>
    </w:p>
    <w:p>
      <w:pPr>
        <w:adjustRightInd w:val="0"/>
        <w:snapToGrid w:val="0"/>
        <w:spacing w:line="600" w:lineRule="exact"/>
        <w:ind w:firstLine="560" w:firstLineChars="200"/>
        <w:outlineLvl w:val="0"/>
        <w:rPr>
          <w:sz w:val="28"/>
          <w:szCs w:val="28"/>
        </w:rPr>
      </w:pPr>
      <w:r>
        <w:rPr>
          <w:rFonts w:hint="eastAsia"/>
          <w:sz w:val="28"/>
          <w:szCs w:val="28"/>
        </w:rPr>
        <w:t>文登市污水处理厂位于</w:t>
      </w:r>
      <w:r>
        <w:rPr>
          <w:rFonts w:hint="eastAsia" w:ascii="宋体" w:hAnsi="宋体"/>
          <w:color w:val="000000"/>
          <w:sz w:val="28"/>
          <w:szCs w:val="28"/>
        </w:rPr>
        <w:t>文登城区西部</w:t>
      </w:r>
      <w:r>
        <w:rPr>
          <w:rFonts w:hint="eastAsia" w:ascii="宋体" w:hAnsi="宋体"/>
          <w:sz w:val="28"/>
          <w:szCs w:val="28"/>
        </w:rPr>
        <w:t>，占地面积约</w:t>
      </w:r>
      <w:r>
        <w:rPr>
          <w:rFonts w:ascii="宋体" w:hAnsi="宋体"/>
          <w:sz w:val="28"/>
          <w:szCs w:val="28"/>
        </w:rPr>
        <w:t>15</w:t>
      </w:r>
      <w:r>
        <w:rPr>
          <w:rFonts w:ascii="宋体"/>
          <w:sz w:val="28"/>
          <w:szCs w:val="28"/>
        </w:rPr>
        <w:t>0</w:t>
      </w:r>
      <w:r>
        <w:rPr>
          <w:rFonts w:hint="eastAsia" w:ascii="宋体" w:hAnsi="宋体"/>
          <w:sz w:val="28"/>
          <w:szCs w:val="28"/>
        </w:rPr>
        <w:t>亩，主要承担文登市区生活污水和工业废水处理，服务人口约</w:t>
      </w:r>
      <w:r>
        <w:rPr>
          <w:rFonts w:ascii="宋体" w:hAnsi="宋体"/>
          <w:sz w:val="28"/>
          <w:szCs w:val="28"/>
        </w:rPr>
        <w:t>3</w:t>
      </w:r>
      <w:r>
        <w:rPr>
          <w:rFonts w:hint="eastAsia" w:ascii="宋体" w:hAnsi="宋体"/>
          <w:sz w:val="28"/>
          <w:szCs w:val="28"/>
        </w:rPr>
        <w:t>5万人，</w:t>
      </w:r>
      <w:r>
        <w:rPr>
          <w:rFonts w:hint="eastAsia"/>
          <w:sz w:val="28"/>
          <w:szCs w:val="28"/>
        </w:rPr>
        <w:t>设计污水日处理能力</w:t>
      </w:r>
      <w:r>
        <w:rPr>
          <w:sz w:val="28"/>
          <w:szCs w:val="28"/>
        </w:rPr>
        <w:t>8</w:t>
      </w:r>
      <w:r>
        <w:rPr>
          <w:rFonts w:hint="eastAsia"/>
          <w:sz w:val="28"/>
          <w:szCs w:val="28"/>
        </w:rPr>
        <w:t>万吨。</w:t>
      </w:r>
    </w:p>
    <w:p>
      <w:pPr>
        <w:adjustRightInd w:val="0"/>
        <w:snapToGrid w:val="0"/>
        <w:spacing w:line="600" w:lineRule="exact"/>
        <w:ind w:firstLine="560" w:firstLineChars="200"/>
        <w:outlineLvl w:val="0"/>
        <w:rPr>
          <w:rFonts w:ascii="宋体"/>
          <w:sz w:val="28"/>
          <w:szCs w:val="28"/>
        </w:rPr>
      </w:pPr>
      <w:r>
        <w:rPr>
          <w:sz w:val="28"/>
          <w:szCs w:val="28"/>
        </w:rPr>
        <w:t>1995</w:t>
      </w:r>
      <w:r>
        <w:rPr>
          <w:rFonts w:hint="eastAsia"/>
          <w:sz w:val="28"/>
          <w:szCs w:val="28"/>
        </w:rPr>
        <w:t>年</w:t>
      </w:r>
      <w:r>
        <w:rPr>
          <w:sz w:val="28"/>
          <w:szCs w:val="28"/>
        </w:rPr>
        <w:t>3</w:t>
      </w:r>
      <w:r>
        <w:rPr>
          <w:rFonts w:hint="eastAsia"/>
          <w:sz w:val="28"/>
          <w:szCs w:val="28"/>
        </w:rPr>
        <w:t>月，污水处理厂项目经山东省计划委员会、山东省对外经济贸易委员会核准立项。</w:t>
      </w:r>
      <w:r>
        <w:rPr>
          <w:sz w:val="28"/>
          <w:szCs w:val="28"/>
        </w:rPr>
        <w:t>1997</w:t>
      </w:r>
      <w:r>
        <w:rPr>
          <w:rFonts w:hint="eastAsia"/>
          <w:sz w:val="28"/>
          <w:szCs w:val="28"/>
        </w:rPr>
        <w:t>年，“文登市污水处理厂工程环境影响报告书”（一期）经威海市环保局审核批复，并于同年</w:t>
      </w:r>
      <w:r>
        <w:rPr>
          <w:rFonts w:ascii="宋体" w:hAnsi="宋体"/>
          <w:sz w:val="28"/>
          <w:szCs w:val="28"/>
        </w:rPr>
        <w:t>9</w:t>
      </w:r>
      <w:r>
        <w:rPr>
          <w:rFonts w:hint="eastAsia" w:ascii="宋体" w:hAnsi="宋体"/>
          <w:sz w:val="28"/>
          <w:szCs w:val="28"/>
        </w:rPr>
        <w:t>月开工建设，</w:t>
      </w:r>
      <w:r>
        <w:rPr>
          <w:rFonts w:ascii="宋体" w:hAnsi="宋体"/>
          <w:sz w:val="28"/>
          <w:szCs w:val="28"/>
        </w:rPr>
        <w:t>2000</w:t>
      </w:r>
      <w:r>
        <w:rPr>
          <w:rFonts w:hint="eastAsia" w:ascii="宋体" w:hAnsi="宋体"/>
          <w:sz w:val="28"/>
          <w:szCs w:val="28"/>
        </w:rPr>
        <w:t>年</w:t>
      </w:r>
      <w:r>
        <w:rPr>
          <w:rFonts w:ascii="宋体" w:hAnsi="宋体"/>
          <w:sz w:val="28"/>
          <w:szCs w:val="28"/>
        </w:rPr>
        <w:t>6</w:t>
      </w:r>
      <w:r>
        <w:rPr>
          <w:rFonts w:hint="eastAsia" w:ascii="宋体" w:hAnsi="宋体"/>
          <w:sz w:val="28"/>
          <w:szCs w:val="28"/>
        </w:rPr>
        <w:t>月竣工，</w:t>
      </w:r>
      <w:r>
        <w:rPr>
          <w:rFonts w:ascii="宋体" w:hAnsi="宋体"/>
          <w:sz w:val="28"/>
          <w:szCs w:val="28"/>
        </w:rPr>
        <w:t>2000</w:t>
      </w:r>
      <w:r>
        <w:rPr>
          <w:rFonts w:hint="eastAsia" w:ascii="宋体" w:hAnsi="宋体"/>
          <w:sz w:val="28"/>
          <w:szCs w:val="28"/>
        </w:rPr>
        <w:t>年</w:t>
      </w:r>
      <w:r>
        <w:rPr>
          <w:rFonts w:ascii="宋体" w:hAnsi="宋体"/>
          <w:sz w:val="28"/>
          <w:szCs w:val="28"/>
        </w:rPr>
        <w:t>8</w:t>
      </w:r>
      <w:r>
        <w:rPr>
          <w:rFonts w:hint="eastAsia" w:ascii="宋体" w:hAnsi="宋体"/>
          <w:sz w:val="28"/>
          <w:szCs w:val="28"/>
        </w:rPr>
        <w:t>月正式运行。</w:t>
      </w:r>
      <w:r>
        <w:rPr>
          <w:rFonts w:ascii="宋体" w:hAnsi="宋体"/>
          <w:sz w:val="28"/>
          <w:szCs w:val="28"/>
        </w:rPr>
        <w:t>2004</w:t>
      </w:r>
      <w:r>
        <w:rPr>
          <w:rFonts w:hint="eastAsia" w:ascii="宋体" w:hAnsi="宋体"/>
          <w:sz w:val="28"/>
          <w:szCs w:val="28"/>
        </w:rPr>
        <w:t>年，“污水处理厂工程环境影响报告表”</w:t>
      </w:r>
      <w:r>
        <w:rPr>
          <w:rFonts w:hint="eastAsia"/>
          <w:sz w:val="28"/>
          <w:szCs w:val="28"/>
        </w:rPr>
        <w:t xml:space="preserve"> （二期）</w:t>
      </w:r>
      <w:r>
        <w:rPr>
          <w:rFonts w:hint="eastAsia" w:ascii="宋体" w:hAnsi="宋体"/>
          <w:sz w:val="28"/>
          <w:szCs w:val="28"/>
        </w:rPr>
        <w:t>经文登市环保局审核批复，并于同年</w:t>
      </w:r>
      <w:r>
        <w:rPr>
          <w:rFonts w:ascii="宋体" w:hAnsi="宋体"/>
          <w:sz w:val="28"/>
          <w:szCs w:val="28"/>
        </w:rPr>
        <w:t>8</w:t>
      </w:r>
      <w:r>
        <w:rPr>
          <w:rFonts w:hint="eastAsia" w:ascii="宋体" w:hAnsi="宋体"/>
          <w:sz w:val="28"/>
          <w:szCs w:val="28"/>
        </w:rPr>
        <w:t>月开工建设，</w:t>
      </w:r>
      <w:r>
        <w:rPr>
          <w:rFonts w:ascii="宋体" w:hAnsi="宋体"/>
          <w:sz w:val="28"/>
          <w:szCs w:val="28"/>
        </w:rPr>
        <w:t>2008</w:t>
      </w:r>
      <w:r>
        <w:rPr>
          <w:rFonts w:hint="eastAsia" w:ascii="宋体" w:hAnsi="宋体"/>
          <w:sz w:val="28"/>
          <w:szCs w:val="28"/>
        </w:rPr>
        <w:t>年</w:t>
      </w:r>
      <w:r>
        <w:rPr>
          <w:rFonts w:ascii="宋体" w:hAnsi="宋体"/>
          <w:sz w:val="28"/>
          <w:szCs w:val="28"/>
        </w:rPr>
        <w:t>8</w:t>
      </w:r>
      <w:r>
        <w:rPr>
          <w:rFonts w:hint="eastAsia" w:ascii="宋体" w:hAnsi="宋体"/>
          <w:sz w:val="28"/>
          <w:szCs w:val="28"/>
        </w:rPr>
        <w:t>月正式运行。2014年“污水处理厂工程环境影响报告表”</w:t>
      </w:r>
      <w:r>
        <w:rPr>
          <w:rFonts w:hint="eastAsia"/>
          <w:sz w:val="28"/>
          <w:szCs w:val="28"/>
        </w:rPr>
        <w:t xml:space="preserve"> （升级改造）</w:t>
      </w:r>
      <w:r>
        <w:rPr>
          <w:rFonts w:hint="eastAsia" w:ascii="宋体" w:hAnsi="宋体"/>
          <w:sz w:val="28"/>
          <w:szCs w:val="28"/>
        </w:rPr>
        <w:t>经文登市环保局审核批复，并于同年7月开工建设，12月完成环保验收。</w:t>
      </w:r>
    </w:p>
    <w:p>
      <w:pPr>
        <w:rPr>
          <w:rFonts w:ascii="宋体"/>
          <w:color w:val="000000"/>
          <w:sz w:val="32"/>
          <w:szCs w:val="32"/>
        </w:rPr>
      </w:pPr>
      <w:r>
        <w:rPr>
          <w:rFonts w:ascii="宋体"/>
          <w:color w:val="000000"/>
          <w:sz w:val="32"/>
          <w:szCs w:val="32"/>
        </w:rPr>
        <w:drawing>
          <wp:inline distT="0" distB="0" distL="114300" distR="114300">
            <wp:extent cx="5420995" cy="3176905"/>
            <wp:effectExtent l="0" t="0" r="8255" b="4445"/>
            <wp:docPr id="5"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4"/>
                    <pic:cNvPicPr>
                      <a:picLocks noChangeAspect="1"/>
                    </pic:cNvPicPr>
                  </pic:nvPicPr>
                  <pic:blipFill>
                    <a:blip r:embed="rId7"/>
                    <a:stretch>
                      <a:fillRect/>
                    </a:stretch>
                  </pic:blipFill>
                  <pic:spPr>
                    <a:xfrm>
                      <a:off x="0" y="0"/>
                      <a:ext cx="5420995" cy="3176905"/>
                    </a:xfrm>
                    <a:prstGeom prst="rect">
                      <a:avLst/>
                    </a:prstGeom>
                    <a:noFill/>
                    <a:ln>
                      <a:noFill/>
                    </a:ln>
                  </pic:spPr>
                </pic:pic>
              </a:graphicData>
            </a:graphic>
          </wp:inline>
        </w:drawing>
      </w:r>
    </w:p>
    <w:p>
      <w:pPr>
        <w:ind w:firstLine="645"/>
        <w:jc w:val="center"/>
        <w:rPr>
          <w:rFonts w:ascii="宋体"/>
          <w:color w:val="000000"/>
          <w:sz w:val="32"/>
          <w:szCs w:val="32"/>
        </w:rPr>
      </w:pPr>
      <w:r>
        <w:rPr>
          <w:rFonts w:hint="eastAsia" w:ascii="宋体" w:hAnsi="宋体"/>
          <w:sz w:val="24"/>
        </w:rPr>
        <w:t>污水处理厂鸟瞰图</w:t>
      </w:r>
    </w:p>
    <w:p>
      <w:pPr>
        <w:adjustRightInd w:val="0"/>
        <w:snapToGrid w:val="0"/>
        <w:spacing w:line="600" w:lineRule="exact"/>
        <w:ind w:firstLine="320" w:firstLineChars="100"/>
        <w:outlineLvl w:val="0"/>
        <w:rPr>
          <w:rFonts w:ascii="宋体"/>
          <w:sz w:val="32"/>
          <w:szCs w:val="32"/>
        </w:rPr>
      </w:pPr>
      <w:r>
        <w:rPr>
          <w:rFonts w:hint="eastAsia" w:ascii="宋体" w:hAnsi="宋体"/>
          <w:sz w:val="32"/>
          <w:szCs w:val="32"/>
        </w:rPr>
        <w:t>（二）企业污染治理情况</w:t>
      </w:r>
    </w:p>
    <w:p>
      <w:pPr>
        <w:spacing w:before="156" w:beforeLines="50" w:after="156" w:afterLines="50" w:line="360" w:lineRule="auto"/>
        <w:ind w:firstLine="560" w:firstLineChars="200"/>
        <w:rPr>
          <w:rFonts w:ascii="宋体"/>
          <w:sz w:val="28"/>
        </w:rPr>
      </w:pPr>
      <w:r>
        <w:rPr>
          <w:rFonts w:hint="eastAsia" w:ascii="宋体" w:hAnsi="宋体"/>
          <w:sz w:val="28"/>
        </w:rPr>
        <w:t>文登创业水务有限公司文登污水处理厂一期采用奥贝尔氧化沟工艺，日处理水量</w:t>
      </w:r>
      <w:r>
        <w:rPr>
          <w:rFonts w:ascii="宋体" w:hAnsi="宋体"/>
          <w:sz w:val="28"/>
        </w:rPr>
        <w:t>4</w:t>
      </w:r>
      <w:r>
        <w:rPr>
          <w:rFonts w:hint="eastAsia" w:ascii="宋体" w:hAnsi="宋体"/>
          <w:sz w:val="28"/>
        </w:rPr>
        <w:t>万</w:t>
      </w:r>
      <w:r>
        <w:rPr>
          <w:rFonts w:ascii="宋体" w:hAnsi="宋体"/>
          <w:sz w:val="28"/>
        </w:rPr>
        <w:t>m</w:t>
      </w:r>
      <w:r>
        <w:rPr>
          <w:rFonts w:ascii="宋体" w:hAnsi="宋体"/>
          <w:sz w:val="28"/>
          <w:vertAlign w:val="superscript"/>
        </w:rPr>
        <w:t>3</w:t>
      </w:r>
      <w:r>
        <w:rPr>
          <w:rFonts w:hint="eastAsia" w:ascii="宋体" w:hAnsi="宋体"/>
          <w:sz w:val="28"/>
        </w:rPr>
        <w:t>；</w:t>
      </w:r>
      <w:r>
        <w:rPr>
          <w:rFonts w:ascii="宋体" w:hAnsi="宋体"/>
          <w:sz w:val="28"/>
        </w:rPr>
        <w:t>2008</w:t>
      </w:r>
      <w:r>
        <w:rPr>
          <w:rFonts w:hint="eastAsia" w:ascii="宋体" w:hAnsi="宋体"/>
          <w:sz w:val="28"/>
        </w:rPr>
        <w:t>年根据山东省要求，进行改扩建。原有一期工程改造为</w:t>
      </w:r>
      <w:r>
        <w:rPr>
          <w:rFonts w:ascii="宋体" w:hAnsi="宋体"/>
          <w:sz w:val="28"/>
        </w:rPr>
        <w:t>3</w:t>
      </w:r>
      <w:r>
        <w:rPr>
          <w:rFonts w:hint="eastAsia" w:ascii="宋体" w:hAnsi="宋体"/>
          <w:sz w:val="28"/>
        </w:rPr>
        <w:t>万</w:t>
      </w:r>
      <w:r>
        <w:rPr>
          <w:rFonts w:ascii="宋体" w:hAnsi="宋体"/>
          <w:sz w:val="28"/>
        </w:rPr>
        <w:t>m</w:t>
      </w:r>
      <w:r>
        <w:rPr>
          <w:rFonts w:ascii="宋体" w:hAnsi="宋体"/>
          <w:sz w:val="28"/>
          <w:vertAlign w:val="superscript"/>
        </w:rPr>
        <w:t>3</w:t>
      </w:r>
      <w:r>
        <w:rPr>
          <w:rFonts w:ascii="宋体" w:hAnsi="宋体"/>
          <w:sz w:val="28"/>
        </w:rPr>
        <w:t>/d</w:t>
      </w:r>
      <w:r>
        <w:rPr>
          <w:rFonts w:hint="eastAsia" w:ascii="宋体" w:hAnsi="宋体"/>
          <w:sz w:val="28"/>
        </w:rPr>
        <w:t>，二期处理能力为</w:t>
      </w:r>
      <w:r>
        <w:rPr>
          <w:rFonts w:ascii="宋体" w:hAnsi="宋体"/>
          <w:sz w:val="28"/>
        </w:rPr>
        <w:t>5</w:t>
      </w:r>
      <w:r>
        <w:rPr>
          <w:rFonts w:hint="eastAsia" w:ascii="宋体" w:hAnsi="宋体"/>
          <w:sz w:val="28"/>
        </w:rPr>
        <w:t>万</w:t>
      </w:r>
      <w:r>
        <w:rPr>
          <w:rFonts w:ascii="宋体" w:hAnsi="宋体"/>
          <w:sz w:val="28"/>
        </w:rPr>
        <w:t>m</w:t>
      </w:r>
      <w:r>
        <w:rPr>
          <w:rFonts w:ascii="宋体" w:hAnsi="宋体"/>
          <w:sz w:val="28"/>
          <w:vertAlign w:val="superscript"/>
        </w:rPr>
        <w:t>3</w:t>
      </w:r>
      <w:r>
        <w:rPr>
          <w:rFonts w:ascii="宋体" w:hAnsi="宋体"/>
          <w:sz w:val="28"/>
        </w:rPr>
        <w:t>/d</w:t>
      </w:r>
      <w:r>
        <w:rPr>
          <w:rFonts w:hint="eastAsia" w:ascii="宋体" w:hAnsi="宋体"/>
          <w:sz w:val="28"/>
        </w:rPr>
        <w:t>，处理工艺为卡鲁塞尔氧化沟，总规模达到</w:t>
      </w:r>
      <w:r>
        <w:rPr>
          <w:rFonts w:ascii="宋体" w:hAnsi="宋体"/>
          <w:sz w:val="28"/>
        </w:rPr>
        <w:t>8</w:t>
      </w:r>
      <w:r>
        <w:rPr>
          <w:rFonts w:hint="eastAsia" w:ascii="宋体" w:hAnsi="宋体"/>
          <w:sz w:val="28"/>
        </w:rPr>
        <w:t>万</w:t>
      </w:r>
      <w:r>
        <w:rPr>
          <w:rFonts w:ascii="宋体" w:hAnsi="宋体"/>
          <w:sz w:val="28"/>
        </w:rPr>
        <w:t>m</w:t>
      </w:r>
      <w:r>
        <w:rPr>
          <w:rFonts w:ascii="宋体" w:hAnsi="宋体"/>
          <w:sz w:val="28"/>
          <w:vertAlign w:val="superscript"/>
        </w:rPr>
        <w:t>3</w:t>
      </w:r>
      <w:r>
        <w:rPr>
          <w:rFonts w:ascii="宋体" w:hAnsi="宋体"/>
          <w:sz w:val="28"/>
        </w:rPr>
        <w:t>/d</w:t>
      </w:r>
      <w:r>
        <w:rPr>
          <w:rFonts w:hint="eastAsia" w:ascii="宋体" w:hAnsi="宋体"/>
          <w:sz w:val="28"/>
        </w:rPr>
        <w:t>，2014年公司开展一级A升级改造工程，目前系统运行稳定，出水标准执行《城镇污水处理厂污染物排放标准》（</w:t>
      </w:r>
      <w:r>
        <w:rPr>
          <w:rFonts w:ascii="宋体" w:hAnsi="宋体"/>
          <w:sz w:val="28"/>
        </w:rPr>
        <w:t>GB18918-2002</w:t>
      </w:r>
      <w:r>
        <w:rPr>
          <w:rFonts w:hint="eastAsia" w:ascii="宋体" w:hAnsi="宋体"/>
          <w:sz w:val="28"/>
        </w:rPr>
        <w:t>）一级A排放标准。主要污染物种类</w:t>
      </w:r>
      <w:r>
        <w:rPr>
          <w:rFonts w:ascii="宋体" w:hAnsi="宋体"/>
          <w:sz w:val="28"/>
        </w:rPr>
        <w:t>COD</w:t>
      </w:r>
      <w:r>
        <w:rPr>
          <w:rFonts w:hint="eastAsia" w:ascii="宋体" w:hAnsi="宋体"/>
          <w:sz w:val="28"/>
        </w:rPr>
        <w:t>、</w:t>
      </w:r>
      <w:r>
        <w:rPr>
          <w:rFonts w:ascii="宋体" w:hAnsi="宋体"/>
          <w:sz w:val="28"/>
        </w:rPr>
        <w:t>BOD</w:t>
      </w:r>
      <w:r>
        <w:rPr>
          <w:rFonts w:hint="eastAsia" w:ascii="宋体" w:hAnsi="宋体"/>
          <w:sz w:val="28"/>
        </w:rPr>
        <w:t>、氨氮、</w:t>
      </w:r>
      <w:r>
        <w:rPr>
          <w:rFonts w:ascii="宋体" w:hAnsi="宋体"/>
          <w:sz w:val="28"/>
        </w:rPr>
        <w:t>SS</w:t>
      </w:r>
      <w:r>
        <w:rPr>
          <w:rFonts w:hint="eastAsia" w:ascii="宋体" w:hAnsi="宋体"/>
          <w:sz w:val="28"/>
        </w:rPr>
        <w:t>、</w:t>
      </w:r>
      <w:r>
        <w:rPr>
          <w:rFonts w:ascii="宋体" w:hAnsi="宋体"/>
          <w:sz w:val="28"/>
        </w:rPr>
        <w:t>TP</w:t>
      </w:r>
      <w:r>
        <w:rPr>
          <w:rFonts w:hint="eastAsia" w:ascii="宋体" w:hAnsi="宋体"/>
          <w:sz w:val="28"/>
        </w:rPr>
        <w:t>等（见下表）。</w:t>
      </w:r>
    </w:p>
    <w:p>
      <w:pPr>
        <w:pStyle w:val="16"/>
        <w:rPr>
          <w:rFonts w:ascii="Times New Roman" w:hAnsi="Times New Roman" w:cs="Times New Roman"/>
        </w:rPr>
      </w:pPr>
      <w:r>
        <w:rPr>
          <w:rFonts w:hint="eastAsia"/>
          <w:sz w:val="28"/>
        </w:rPr>
        <w:t>主要污染物指标</w:t>
      </w:r>
    </w:p>
    <w:tbl>
      <w:tblPr>
        <w:tblStyle w:val="10"/>
        <w:tblW w:w="858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1"/>
        <w:gridCol w:w="1228"/>
        <w:gridCol w:w="1228"/>
        <w:gridCol w:w="1228"/>
        <w:gridCol w:w="1226"/>
        <w:gridCol w:w="1226"/>
        <w:gridCol w:w="12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231" w:type="dxa"/>
            <w:noWrap w:val="0"/>
            <w:vAlign w:val="center"/>
          </w:tcPr>
          <w:p>
            <w:pPr>
              <w:pStyle w:val="17"/>
              <w:rPr>
                <w:rFonts w:ascii="Times New Roman" w:hAnsi="Times New Roman" w:cs="Times New Roman"/>
              </w:rPr>
            </w:pPr>
            <w:r>
              <w:rPr>
                <w:rFonts w:ascii="Times New Roman" w:cs="Times New Roman"/>
              </w:rPr>
              <w:t>项目</w:t>
            </w:r>
          </w:p>
        </w:tc>
        <w:tc>
          <w:tcPr>
            <w:tcW w:w="1228" w:type="dxa"/>
            <w:noWrap w:val="0"/>
            <w:vAlign w:val="center"/>
          </w:tcPr>
          <w:p>
            <w:pPr>
              <w:pStyle w:val="17"/>
              <w:rPr>
                <w:rFonts w:ascii="Times New Roman" w:hAnsi="Times New Roman" w:cs="Times New Roman"/>
              </w:rPr>
            </w:pPr>
            <w:r>
              <w:rPr>
                <w:rFonts w:ascii="Times New Roman" w:hAnsi="Times New Roman" w:cs="Times New Roman"/>
              </w:rPr>
              <w:t>CODcr</w:t>
            </w:r>
          </w:p>
        </w:tc>
        <w:tc>
          <w:tcPr>
            <w:tcW w:w="1228" w:type="dxa"/>
            <w:noWrap w:val="0"/>
            <w:vAlign w:val="center"/>
          </w:tcPr>
          <w:p>
            <w:pPr>
              <w:pStyle w:val="17"/>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1228" w:type="dxa"/>
            <w:noWrap w:val="0"/>
            <w:vAlign w:val="center"/>
          </w:tcPr>
          <w:p>
            <w:pPr>
              <w:pStyle w:val="17"/>
              <w:rPr>
                <w:rFonts w:ascii="Times New Roman" w:hAnsi="Times New Roman" w:cs="Times New Roman"/>
              </w:rPr>
            </w:pPr>
            <w:r>
              <w:rPr>
                <w:rFonts w:ascii="Times New Roman" w:hAnsi="Times New Roman" w:cs="Times New Roman"/>
              </w:rPr>
              <w:t>SS</w:t>
            </w:r>
          </w:p>
        </w:tc>
        <w:tc>
          <w:tcPr>
            <w:tcW w:w="1226" w:type="dxa"/>
            <w:noWrap w:val="0"/>
            <w:vAlign w:val="center"/>
          </w:tcPr>
          <w:p>
            <w:pPr>
              <w:pStyle w:val="17"/>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w:t>
            </w:r>
          </w:p>
        </w:tc>
        <w:tc>
          <w:tcPr>
            <w:tcW w:w="1226" w:type="dxa"/>
            <w:noWrap w:val="0"/>
            <w:vAlign w:val="center"/>
          </w:tcPr>
          <w:p>
            <w:pPr>
              <w:pStyle w:val="17"/>
              <w:rPr>
                <w:rFonts w:ascii="Times New Roman" w:hAnsi="Times New Roman" w:cs="Times New Roman"/>
              </w:rPr>
            </w:pPr>
            <w:r>
              <w:rPr>
                <w:rFonts w:ascii="Times New Roman" w:hAnsi="Times New Roman" w:cs="Times New Roman"/>
              </w:rPr>
              <w:t>TN</w:t>
            </w:r>
          </w:p>
        </w:tc>
        <w:tc>
          <w:tcPr>
            <w:tcW w:w="1221" w:type="dxa"/>
            <w:noWrap w:val="0"/>
            <w:vAlign w:val="center"/>
          </w:tcPr>
          <w:p>
            <w:pPr>
              <w:pStyle w:val="17"/>
              <w:rPr>
                <w:rFonts w:ascii="Times New Roman" w:hAnsi="Times New Roman" w:cs="Times New Roman"/>
              </w:rPr>
            </w:pPr>
            <w:r>
              <w:rPr>
                <w:rFonts w:ascii="Times New Roman" w:hAnsi="Times New Roman" w:cs="Times New Roman"/>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231" w:type="dxa"/>
            <w:noWrap w:val="0"/>
            <w:vAlign w:val="center"/>
          </w:tcPr>
          <w:p>
            <w:pPr>
              <w:pStyle w:val="17"/>
              <w:rPr>
                <w:rFonts w:ascii="Times New Roman" w:hAnsi="Times New Roman" w:cs="Times New Roman"/>
              </w:rPr>
            </w:pPr>
            <w:r>
              <w:rPr>
                <w:rFonts w:ascii="Times New Roman" w:cs="Times New Roman"/>
              </w:rPr>
              <w:t>进水</w:t>
            </w:r>
          </w:p>
        </w:tc>
        <w:tc>
          <w:tcPr>
            <w:tcW w:w="1228" w:type="dxa"/>
            <w:noWrap w:val="0"/>
            <w:vAlign w:val="center"/>
          </w:tcPr>
          <w:p>
            <w:pPr>
              <w:pStyle w:val="17"/>
              <w:rPr>
                <w:rFonts w:ascii="Times New Roman" w:hAnsi="Times New Roman" w:cs="Times New Roman"/>
              </w:rPr>
            </w:pPr>
            <w:r>
              <w:rPr>
                <w:rFonts w:ascii="Times New Roman" w:hAnsi="Times New Roman" w:cs="Times New Roman"/>
              </w:rPr>
              <w:t>500</w:t>
            </w:r>
          </w:p>
        </w:tc>
        <w:tc>
          <w:tcPr>
            <w:tcW w:w="1228" w:type="dxa"/>
            <w:noWrap w:val="0"/>
            <w:vAlign w:val="center"/>
          </w:tcPr>
          <w:p>
            <w:pPr>
              <w:pStyle w:val="17"/>
              <w:rPr>
                <w:rFonts w:ascii="Times New Roman" w:hAnsi="Times New Roman" w:cs="Times New Roman"/>
              </w:rPr>
            </w:pPr>
            <w:r>
              <w:rPr>
                <w:rFonts w:ascii="Times New Roman" w:hAnsi="Times New Roman" w:cs="Times New Roman"/>
              </w:rPr>
              <w:t>150</w:t>
            </w:r>
          </w:p>
        </w:tc>
        <w:tc>
          <w:tcPr>
            <w:tcW w:w="1228" w:type="dxa"/>
            <w:noWrap w:val="0"/>
            <w:vAlign w:val="center"/>
          </w:tcPr>
          <w:p>
            <w:pPr>
              <w:pStyle w:val="17"/>
              <w:rPr>
                <w:rFonts w:ascii="Times New Roman" w:hAnsi="Times New Roman" w:cs="Times New Roman"/>
              </w:rPr>
            </w:pPr>
            <w:r>
              <w:rPr>
                <w:rFonts w:ascii="Times New Roman" w:hAnsi="Times New Roman" w:cs="Times New Roman"/>
              </w:rPr>
              <w:t>300</w:t>
            </w:r>
          </w:p>
        </w:tc>
        <w:tc>
          <w:tcPr>
            <w:tcW w:w="1226" w:type="dxa"/>
            <w:noWrap w:val="0"/>
            <w:vAlign w:val="center"/>
          </w:tcPr>
          <w:p>
            <w:pPr>
              <w:pStyle w:val="17"/>
              <w:rPr>
                <w:rFonts w:hint="eastAsia" w:ascii="Times New Roman" w:hAnsi="Times New Roman" w:cs="Times New Roman"/>
              </w:rPr>
            </w:pPr>
            <w:r>
              <w:rPr>
                <w:rFonts w:hint="eastAsia" w:ascii="Times New Roman" w:hAnsi="Times New Roman" w:cs="Times New Roman"/>
              </w:rPr>
              <w:t>45</w:t>
            </w:r>
          </w:p>
        </w:tc>
        <w:tc>
          <w:tcPr>
            <w:tcW w:w="1226" w:type="dxa"/>
            <w:noWrap w:val="0"/>
            <w:vAlign w:val="center"/>
          </w:tcPr>
          <w:p>
            <w:pPr>
              <w:pStyle w:val="17"/>
              <w:rPr>
                <w:rFonts w:ascii="Times New Roman" w:hAnsi="Times New Roman" w:cs="Times New Roman"/>
              </w:rPr>
            </w:pPr>
            <w:r>
              <w:rPr>
                <w:rFonts w:ascii="Times New Roman" w:hAnsi="Times New Roman" w:cs="Times New Roman"/>
              </w:rPr>
              <w:t>70</w:t>
            </w:r>
          </w:p>
        </w:tc>
        <w:tc>
          <w:tcPr>
            <w:tcW w:w="1221" w:type="dxa"/>
            <w:noWrap w:val="0"/>
            <w:vAlign w:val="center"/>
          </w:tcPr>
          <w:p>
            <w:pPr>
              <w:pStyle w:val="17"/>
              <w:rPr>
                <w:rFonts w:ascii="Times New Roman" w:hAnsi="Times New Roman" w:cs="Times New Roman"/>
              </w:rPr>
            </w:pPr>
            <w:r>
              <w:rPr>
                <w:rFonts w:ascii="Times New Roman" w:hAnsi="Times New Roman" w:cs="Times New Roma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231" w:type="dxa"/>
            <w:noWrap w:val="0"/>
            <w:vAlign w:val="center"/>
          </w:tcPr>
          <w:p>
            <w:pPr>
              <w:pStyle w:val="17"/>
              <w:rPr>
                <w:rFonts w:ascii="Times New Roman" w:hAnsi="Times New Roman" w:cs="Times New Roman"/>
              </w:rPr>
            </w:pPr>
            <w:r>
              <w:rPr>
                <w:rFonts w:ascii="Times New Roman" w:cs="Times New Roman"/>
              </w:rPr>
              <w:t>出水</w:t>
            </w:r>
          </w:p>
        </w:tc>
        <w:tc>
          <w:tcPr>
            <w:tcW w:w="1228" w:type="dxa"/>
            <w:noWrap w:val="0"/>
            <w:vAlign w:val="center"/>
          </w:tcPr>
          <w:p>
            <w:pPr>
              <w:pStyle w:val="17"/>
              <w:rPr>
                <w:rFonts w:ascii="Times New Roman" w:hAnsi="Times New Roman" w:cs="Times New Roman"/>
              </w:rPr>
            </w:pPr>
            <w:r>
              <w:rPr>
                <w:rFonts w:ascii="Times New Roman" w:hAnsi="Times New Roman" w:cs="Times New Roman"/>
              </w:rPr>
              <w:t>50</w:t>
            </w:r>
          </w:p>
        </w:tc>
        <w:tc>
          <w:tcPr>
            <w:tcW w:w="1228" w:type="dxa"/>
            <w:noWrap w:val="0"/>
            <w:vAlign w:val="center"/>
          </w:tcPr>
          <w:p>
            <w:pPr>
              <w:pStyle w:val="17"/>
              <w:rPr>
                <w:rFonts w:ascii="Times New Roman" w:hAnsi="Times New Roman" w:cs="Times New Roman"/>
              </w:rPr>
            </w:pPr>
            <w:r>
              <w:rPr>
                <w:rFonts w:ascii="Times New Roman" w:hAnsi="Times New Roman" w:cs="Times New Roman"/>
              </w:rPr>
              <w:t>10</w:t>
            </w:r>
          </w:p>
        </w:tc>
        <w:tc>
          <w:tcPr>
            <w:tcW w:w="1228" w:type="dxa"/>
            <w:noWrap w:val="0"/>
            <w:vAlign w:val="center"/>
          </w:tcPr>
          <w:p>
            <w:pPr>
              <w:pStyle w:val="17"/>
              <w:rPr>
                <w:rFonts w:ascii="Times New Roman" w:hAnsi="Times New Roman" w:cs="Times New Roman"/>
              </w:rPr>
            </w:pPr>
            <w:r>
              <w:rPr>
                <w:rFonts w:ascii="Times New Roman" w:hAnsi="Times New Roman" w:cs="Times New Roman"/>
              </w:rPr>
              <w:t>10</w:t>
            </w:r>
          </w:p>
        </w:tc>
        <w:tc>
          <w:tcPr>
            <w:tcW w:w="1226" w:type="dxa"/>
            <w:noWrap w:val="0"/>
            <w:vAlign w:val="center"/>
          </w:tcPr>
          <w:p>
            <w:pPr>
              <w:pStyle w:val="17"/>
              <w:rPr>
                <w:rFonts w:hint="eastAsia" w:ascii="Times New Roman" w:hAnsi="Times New Roman" w:cs="Times New Roman"/>
              </w:rPr>
            </w:pPr>
            <w:r>
              <w:rPr>
                <w:rFonts w:ascii="Times New Roman" w:hAnsi="Times New Roman" w:cs="Times New Roman"/>
              </w:rPr>
              <w:t>5</w:t>
            </w:r>
            <w:r>
              <w:rPr>
                <w:rFonts w:hint="eastAsia" w:ascii="Times New Roman" w:hAnsi="Times New Roman" w:cs="Times New Roman"/>
              </w:rPr>
              <w:t>（</w:t>
            </w:r>
            <w:r>
              <w:rPr>
                <w:rFonts w:ascii="Times New Roman" w:hAnsi="Times New Roman" w:cs="Times New Roman"/>
              </w:rPr>
              <w:t>8</w:t>
            </w:r>
            <w:r>
              <w:rPr>
                <w:rFonts w:hint="eastAsia" w:ascii="Times New Roman" w:hAnsi="Times New Roman" w:cs="Times New Roman"/>
              </w:rPr>
              <w:t>）</w:t>
            </w:r>
          </w:p>
        </w:tc>
        <w:tc>
          <w:tcPr>
            <w:tcW w:w="1226" w:type="dxa"/>
            <w:noWrap w:val="0"/>
            <w:vAlign w:val="center"/>
          </w:tcPr>
          <w:p>
            <w:pPr>
              <w:pStyle w:val="17"/>
              <w:rPr>
                <w:rFonts w:ascii="Times New Roman" w:hAnsi="Times New Roman" w:cs="Times New Roman"/>
              </w:rPr>
            </w:pPr>
            <w:r>
              <w:rPr>
                <w:rFonts w:ascii="Times New Roman" w:hAnsi="Times New Roman" w:cs="Times New Roman"/>
              </w:rPr>
              <w:t>15</w:t>
            </w:r>
          </w:p>
        </w:tc>
        <w:tc>
          <w:tcPr>
            <w:tcW w:w="1221" w:type="dxa"/>
            <w:noWrap w:val="0"/>
            <w:vAlign w:val="center"/>
          </w:tcPr>
          <w:p>
            <w:pPr>
              <w:pStyle w:val="17"/>
              <w:rPr>
                <w:rFonts w:ascii="Times New Roman" w:hAnsi="Times New Roman" w:cs="Times New Roman"/>
              </w:rPr>
            </w:pPr>
            <w:r>
              <w:rPr>
                <w:rFonts w:ascii="Times New Roman" w:hAnsi="Times New Roman" w:cs="Times New Roman"/>
              </w:rPr>
              <w:t>0.5</w:t>
            </w:r>
          </w:p>
        </w:tc>
      </w:tr>
    </w:tbl>
    <w:p>
      <w:pPr>
        <w:spacing w:line="520" w:lineRule="exact"/>
        <w:ind w:firstLine="560" w:firstLineChars="200"/>
        <w:rPr>
          <w:rFonts w:ascii="宋体"/>
          <w:sz w:val="28"/>
        </w:rPr>
      </w:pPr>
    </w:p>
    <w:p>
      <w:pPr>
        <w:spacing w:line="380" w:lineRule="exact"/>
        <w:ind w:firstLine="640" w:firstLineChars="200"/>
        <w:rPr>
          <w:rFonts w:ascii="宋体"/>
          <w:sz w:val="32"/>
          <w:szCs w:val="32"/>
        </w:rPr>
      </w:pPr>
    </w:p>
    <w:p>
      <w:pPr>
        <w:spacing w:line="380" w:lineRule="exact"/>
        <w:ind w:firstLine="3357" w:firstLineChars="1045"/>
        <w:rPr>
          <w:rFonts w:hint="eastAsia" w:ascii="宋体"/>
          <w:b/>
          <w:sz w:val="32"/>
          <w:szCs w:val="32"/>
        </w:rPr>
      </w:pPr>
    </w:p>
    <w:p>
      <w:pPr>
        <w:spacing w:line="380" w:lineRule="exact"/>
        <w:rPr>
          <w:rFonts w:hint="eastAsia" w:ascii="宋体"/>
          <w:b/>
          <w:sz w:val="32"/>
          <w:szCs w:val="32"/>
        </w:rPr>
      </w:pPr>
    </w:p>
    <w:p>
      <w:pPr>
        <w:spacing w:line="380" w:lineRule="exact"/>
        <w:ind w:firstLine="2194" w:firstLineChars="1045"/>
        <w:rPr>
          <w:rFonts w:hint="eastAsia" w:ascii="宋体"/>
          <w:b/>
          <w:sz w:val="32"/>
          <w:szCs w:val="32"/>
        </w:rPr>
      </w:pPr>
      <w:r>
        <w:drawing>
          <wp:anchor distT="0" distB="0" distL="114300" distR="114300" simplePos="0" relativeHeight="251935744" behindDoc="0" locked="0" layoutInCell="1" allowOverlap="1">
            <wp:simplePos x="0" y="0"/>
            <wp:positionH relativeFrom="column">
              <wp:posOffset>-114300</wp:posOffset>
            </wp:positionH>
            <wp:positionV relativeFrom="paragraph">
              <wp:posOffset>111760</wp:posOffset>
            </wp:positionV>
            <wp:extent cx="5600700" cy="3022600"/>
            <wp:effectExtent l="0" t="0" r="0" b="6350"/>
            <wp:wrapNone/>
            <wp:docPr id="6" name="图片 2" descr="流程图一级A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流程图一级A黑白"/>
                    <pic:cNvPicPr>
                      <a:picLocks noChangeAspect="1"/>
                    </pic:cNvPicPr>
                  </pic:nvPicPr>
                  <pic:blipFill>
                    <a:blip r:embed="rId8"/>
                    <a:stretch>
                      <a:fillRect/>
                    </a:stretch>
                  </pic:blipFill>
                  <pic:spPr>
                    <a:xfrm>
                      <a:off x="0" y="0"/>
                      <a:ext cx="5600700" cy="3022600"/>
                    </a:xfrm>
                    <a:prstGeom prst="rect">
                      <a:avLst/>
                    </a:prstGeom>
                    <a:noFill/>
                    <a:ln>
                      <a:noFill/>
                    </a:ln>
                  </pic:spPr>
                </pic:pic>
              </a:graphicData>
            </a:graphic>
          </wp:anchor>
        </w:drawing>
      </w:r>
    </w:p>
    <w:p>
      <w:pPr>
        <w:spacing w:line="380" w:lineRule="exact"/>
        <w:rPr>
          <w:rFonts w:hint="eastAsia" w:ascii="宋体"/>
          <w:b/>
          <w:sz w:val="32"/>
          <w:szCs w:val="32"/>
        </w:rPr>
      </w:pPr>
    </w:p>
    <w:p>
      <w:pPr>
        <w:spacing w:line="380" w:lineRule="exact"/>
        <w:ind w:firstLine="3357" w:firstLineChars="1045"/>
        <w:rPr>
          <w:rFonts w:hint="eastAsia" w:ascii="宋体"/>
          <w:b/>
          <w:sz w:val="32"/>
          <w:szCs w:val="32"/>
        </w:rPr>
      </w:pPr>
    </w:p>
    <w:p>
      <w:pPr>
        <w:spacing w:line="380" w:lineRule="exact"/>
        <w:ind w:firstLine="3357" w:firstLineChars="1045"/>
        <w:rPr>
          <w:rFonts w:hint="eastAsia" w:ascii="宋体"/>
          <w:b/>
          <w:sz w:val="32"/>
          <w:szCs w:val="32"/>
        </w:rPr>
      </w:pPr>
    </w:p>
    <w:p>
      <w:pPr>
        <w:spacing w:line="380" w:lineRule="exact"/>
        <w:ind w:firstLine="3357" w:firstLineChars="1045"/>
        <w:rPr>
          <w:rFonts w:hint="eastAsia" w:ascii="宋体"/>
          <w:b/>
          <w:sz w:val="32"/>
          <w:szCs w:val="32"/>
        </w:rPr>
      </w:pPr>
    </w:p>
    <w:p>
      <w:pPr>
        <w:spacing w:line="380" w:lineRule="exact"/>
        <w:ind w:firstLine="3357" w:firstLineChars="1045"/>
        <w:rPr>
          <w:rFonts w:hint="eastAsia" w:ascii="宋体"/>
          <w:b/>
          <w:sz w:val="32"/>
          <w:szCs w:val="32"/>
        </w:rPr>
      </w:pPr>
    </w:p>
    <w:p>
      <w:pPr>
        <w:spacing w:line="380" w:lineRule="exact"/>
        <w:ind w:firstLine="3357" w:firstLineChars="1045"/>
        <w:rPr>
          <w:rFonts w:hint="eastAsia" w:ascii="宋体"/>
          <w:b/>
          <w:sz w:val="32"/>
          <w:szCs w:val="32"/>
        </w:rPr>
      </w:pPr>
    </w:p>
    <w:p>
      <w:pPr>
        <w:spacing w:line="380" w:lineRule="exact"/>
        <w:ind w:firstLine="643" w:firstLineChars="200"/>
        <w:rPr>
          <w:rFonts w:ascii="宋体"/>
          <w:b/>
          <w:sz w:val="32"/>
          <w:szCs w:val="32"/>
        </w:rPr>
      </w:pPr>
    </w:p>
    <w:p>
      <w:pPr>
        <w:spacing w:line="380" w:lineRule="exact"/>
        <w:ind w:firstLine="643" w:firstLineChars="200"/>
        <w:rPr>
          <w:rFonts w:ascii="宋体"/>
          <w:b/>
          <w:sz w:val="32"/>
          <w:szCs w:val="32"/>
        </w:rPr>
      </w:pPr>
    </w:p>
    <w:p>
      <w:pPr>
        <w:spacing w:line="380" w:lineRule="exact"/>
        <w:ind w:firstLine="643" w:firstLineChars="200"/>
        <w:rPr>
          <w:rFonts w:ascii="宋体"/>
          <w:b/>
          <w:sz w:val="32"/>
          <w:szCs w:val="32"/>
        </w:rPr>
      </w:pPr>
    </w:p>
    <w:p>
      <w:pPr>
        <w:spacing w:line="380" w:lineRule="exact"/>
        <w:ind w:firstLine="643" w:firstLineChars="200"/>
        <w:rPr>
          <w:rFonts w:ascii="宋体"/>
          <w:b/>
          <w:sz w:val="32"/>
          <w:szCs w:val="32"/>
        </w:rPr>
      </w:pPr>
    </w:p>
    <w:p>
      <w:pPr>
        <w:spacing w:line="380" w:lineRule="exact"/>
        <w:ind w:firstLine="643" w:firstLineChars="200"/>
        <w:rPr>
          <w:rFonts w:ascii="宋体"/>
          <w:b/>
          <w:sz w:val="32"/>
          <w:szCs w:val="32"/>
        </w:rPr>
      </w:pPr>
    </w:p>
    <w:p>
      <w:pPr>
        <w:spacing w:line="380" w:lineRule="exact"/>
        <w:ind w:firstLine="643" w:firstLineChars="200"/>
        <w:rPr>
          <w:rFonts w:ascii="宋体"/>
          <w:b/>
          <w:sz w:val="32"/>
          <w:szCs w:val="32"/>
        </w:rPr>
      </w:pPr>
    </w:p>
    <w:p>
      <w:pPr>
        <w:spacing w:line="380" w:lineRule="exact"/>
        <w:ind w:firstLine="643" w:firstLineChars="200"/>
        <w:rPr>
          <w:rFonts w:ascii="宋体"/>
          <w:b/>
          <w:sz w:val="32"/>
          <w:szCs w:val="32"/>
        </w:rPr>
      </w:pPr>
    </w:p>
    <w:p>
      <w:pPr>
        <w:spacing w:line="380" w:lineRule="exact"/>
        <w:ind w:firstLine="3357" w:firstLineChars="1045"/>
        <w:rPr>
          <w:rFonts w:hint="eastAsia" w:ascii="宋体" w:hAnsi="宋体"/>
          <w:b/>
          <w:sz w:val="32"/>
          <w:szCs w:val="32"/>
        </w:rPr>
      </w:pPr>
    </w:p>
    <w:p>
      <w:pPr>
        <w:spacing w:line="380" w:lineRule="exact"/>
        <w:ind w:firstLine="3357" w:firstLineChars="1045"/>
        <w:rPr>
          <w:rFonts w:hint="eastAsia" w:ascii="宋体" w:hAnsi="宋体"/>
          <w:b/>
          <w:sz w:val="32"/>
          <w:szCs w:val="32"/>
        </w:rPr>
      </w:pPr>
    </w:p>
    <w:p>
      <w:pPr>
        <w:spacing w:line="380" w:lineRule="exact"/>
        <w:ind w:firstLine="3357" w:firstLineChars="1045"/>
        <w:rPr>
          <w:rFonts w:hint="eastAsia" w:ascii="宋体" w:hAnsi="宋体"/>
          <w:b/>
          <w:sz w:val="32"/>
          <w:szCs w:val="32"/>
        </w:rPr>
      </w:pPr>
    </w:p>
    <w:p>
      <w:pPr>
        <w:spacing w:line="380" w:lineRule="exact"/>
        <w:ind w:firstLine="3357" w:firstLineChars="1045"/>
        <w:rPr>
          <w:rFonts w:hint="eastAsia" w:ascii="宋体" w:hAnsi="宋体"/>
          <w:b/>
          <w:sz w:val="32"/>
          <w:szCs w:val="32"/>
        </w:rPr>
      </w:pPr>
    </w:p>
    <w:p>
      <w:pPr>
        <w:spacing w:line="380" w:lineRule="exact"/>
        <w:ind w:firstLine="3357" w:firstLineChars="1045"/>
        <w:rPr>
          <w:rFonts w:hint="eastAsia" w:ascii="宋体" w:hAnsi="宋体"/>
          <w:b/>
          <w:sz w:val="32"/>
          <w:szCs w:val="32"/>
        </w:rPr>
      </w:pPr>
    </w:p>
    <w:p>
      <w:pPr>
        <w:spacing w:line="380" w:lineRule="exact"/>
        <w:ind w:firstLine="3357" w:firstLineChars="1045"/>
        <w:rPr>
          <w:rFonts w:hint="eastAsia" w:ascii="宋体" w:hAnsi="宋体"/>
          <w:b/>
          <w:sz w:val="32"/>
          <w:szCs w:val="32"/>
        </w:rPr>
      </w:pPr>
    </w:p>
    <w:p>
      <w:pPr>
        <w:spacing w:line="380" w:lineRule="exact"/>
        <w:ind w:firstLine="3357" w:firstLineChars="1045"/>
        <w:rPr>
          <w:rFonts w:ascii="宋体"/>
          <w:b/>
          <w:sz w:val="32"/>
          <w:szCs w:val="32"/>
        </w:rPr>
      </w:pPr>
      <w:r>
        <w:rPr>
          <w:rFonts w:hint="eastAsia" w:ascii="宋体" w:hAnsi="宋体"/>
          <w:b/>
          <w:sz w:val="32"/>
          <w:szCs w:val="32"/>
        </w:rPr>
        <w:t>工艺流程图</w:t>
      </w:r>
    </w:p>
    <w:p>
      <w:pPr>
        <w:widowControl/>
        <w:jc w:val="left"/>
        <w:rPr>
          <w:rFonts w:hint="eastAsia" w:ascii="仿宋_GB2312" w:hAnsi="Adobe 仿宋 Std R" w:eastAsia="仿宋_GB2312"/>
          <w:sz w:val="24"/>
        </w:rPr>
        <w:sectPr>
          <w:pgSz w:w="11906" w:h="16838"/>
          <w:pgMar w:top="1440" w:right="1588" w:bottom="1440" w:left="1588" w:header="851" w:footer="992" w:gutter="0"/>
          <w:cols w:space="720" w:num="1"/>
          <w:docGrid w:type="lines" w:linePitch="312" w:charSpace="0"/>
        </w:sectPr>
      </w:pPr>
    </w:p>
    <w:p>
      <w:pPr>
        <w:spacing w:line="380" w:lineRule="exact"/>
        <w:ind w:firstLine="643" w:firstLineChars="200"/>
        <w:rPr>
          <w:rFonts w:ascii="宋体"/>
          <w:b/>
          <w:sz w:val="32"/>
          <w:szCs w:val="32"/>
        </w:rPr>
      </w:pPr>
      <w:r>
        <w:rPr>
          <w:rFonts w:hint="eastAsia" w:ascii="宋体" w:hAnsi="宋体"/>
          <w:b/>
          <w:sz w:val="32"/>
          <w:szCs w:val="32"/>
        </w:rPr>
        <w:t>二、监测内容</w:t>
      </w:r>
    </w:p>
    <w:p>
      <w:pPr>
        <w:spacing w:line="380" w:lineRule="exact"/>
        <w:jc w:val="center"/>
        <w:rPr>
          <w:rFonts w:ascii="黑体" w:hAnsi="黑体" w:eastAsia="黑体"/>
          <w:b/>
          <w:sz w:val="32"/>
          <w:szCs w:val="32"/>
        </w:rPr>
      </w:pPr>
      <w:r>
        <w:rPr>
          <w:rFonts w:hint="eastAsia" w:ascii="黑体" w:hAnsi="黑体" w:eastAsia="黑体"/>
          <w:b/>
          <w:sz w:val="32"/>
          <w:szCs w:val="32"/>
        </w:rPr>
        <w:t>废水自行监测内容表</w:t>
      </w:r>
    </w:p>
    <w:p>
      <w:pPr>
        <w:spacing w:line="380" w:lineRule="exact"/>
        <w:jc w:val="center"/>
        <w:rPr>
          <w:rFonts w:ascii="黑体" w:hAnsi="黑体" w:eastAsia="黑体"/>
          <w:b/>
          <w:sz w:val="32"/>
          <w:szCs w:val="32"/>
        </w:rPr>
      </w:pPr>
    </w:p>
    <w:tbl>
      <w:tblPr>
        <w:tblStyle w:val="10"/>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577"/>
        <w:gridCol w:w="1155"/>
        <w:gridCol w:w="1259"/>
        <w:gridCol w:w="3884"/>
        <w:gridCol w:w="1191"/>
        <w:gridCol w:w="1750"/>
        <w:gridCol w:w="1572"/>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3" w:type="dxa"/>
            <w:gridSpan w:val="2"/>
            <w:tcBorders>
              <w:top w:val="single" w:color="auto" w:sz="12" w:space="0"/>
              <w:bottom w:val="single" w:color="auto" w:sz="12" w:space="0"/>
              <w:tl2br w:val="single" w:color="auto" w:sz="4" w:space="0"/>
            </w:tcBorders>
            <w:noWrap w:val="0"/>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155" w:type="dxa"/>
            <w:tcBorders>
              <w:top w:val="single" w:color="auto" w:sz="12" w:space="0"/>
              <w:bottom w:val="single" w:color="auto" w:sz="12" w:space="0"/>
            </w:tcBorders>
            <w:noWrap w:val="0"/>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259" w:type="dxa"/>
            <w:tcBorders>
              <w:top w:val="single" w:color="auto" w:sz="12" w:space="0"/>
              <w:bottom w:val="single" w:color="auto" w:sz="12" w:space="0"/>
            </w:tcBorders>
            <w:noWrap w:val="0"/>
            <w:vAlign w:val="center"/>
          </w:tcPr>
          <w:p>
            <w:pPr>
              <w:spacing w:line="320" w:lineRule="exact"/>
              <w:jc w:val="center"/>
              <w:rPr>
                <w:rFonts w:ascii="黑体" w:hAnsi="黑体" w:eastAsia="黑体"/>
                <w:b/>
                <w:sz w:val="24"/>
              </w:rPr>
            </w:pPr>
            <w:r>
              <w:rPr>
                <w:rFonts w:hint="eastAsia" w:ascii="黑体" w:hAnsi="黑体" w:eastAsia="黑体"/>
                <w:b/>
                <w:sz w:val="24"/>
              </w:rPr>
              <w:t>监测频次</w:t>
            </w:r>
          </w:p>
        </w:tc>
        <w:tc>
          <w:tcPr>
            <w:tcW w:w="3884" w:type="dxa"/>
            <w:tcBorders>
              <w:top w:val="single" w:color="auto" w:sz="12" w:space="0"/>
              <w:bottom w:val="single" w:color="auto" w:sz="12" w:space="0"/>
            </w:tcBorders>
            <w:noWrap w:val="0"/>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191"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1750"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572"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801"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restart"/>
            <w:tcBorders>
              <w:top w:val="single" w:color="auto" w:sz="12" w:space="0"/>
            </w:tcBorders>
            <w:noWrap w:val="0"/>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577" w:type="dxa"/>
            <w:tcBorders>
              <w:top w:val="single" w:color="auto" w:sz="12" w:space="0"/>
            </w:tcBorders>
            <w:noWrap w:val="0"/>
            <w:vAlign w:val="center"/>
          </w:tcPr>
          <w:p>
            <w:pPr>
              <w:spacing w:line="320" w:lineRule="exact"/>
              <w:jc w:val="center"/>
              <w:rPr>
                <w:rFonts w:ascii="宋体"/>
                <w:sz w:val="24"/>
              </w:rPr>
            </w:pPr>
            <w:r>
              <w:rPr>
                <w:rFonts w:ascii="宋体" w:hAnsi="宋体"/>
                <w:sz w:val="24"/>
              </w:rPr>
              <w:t>BOD</w:t>
            </w:r>
          </w:p>
        </w:tc>
        <w:tc>
          <w:tcPr>
            <w:tcW w:w="1155" w:type="dxa"/>
            <w:noWrap w:val="0"/>
            <w:vAlign w:val="center"/>
          </w:tcPr>
          <w:p>
            <w:pPr>
              <w:spacing w:line="320" w:lineRule="exact"/>
              <w:jc w:val="center"/>
              <w:rPr>
                <w:rFonts w:hint="eastAsia" w:ascii="宋体" w:hAnsi="宋体"/>
                <w:sz w:val="24"/>
              </w:rPr>
            </w:pPr>
            <w:r>
              <w:rPr>
                <w:rFonts w:ascii="宋体" w:hAnsi="宋体"/>
                <w:sz w:val="24"/>
              </w:rPr>
              <w:t>S1</w:t>
            </w:r>
          </w:p>
        </w:tc>
        <w:tc>
          <w:tcPr>
            <w:tcW w:w="1259" w:type="dxa"/>
            <w:noWrap w:val="0"/>
            <w:vAlign w:val="center"/>
          </w:tcPr>
          <w:p>
            <w:pPr>
              <w:spacing w:line="320" w:lineRule="exact"/>
              <w:ind w:firstLine="240" w:firstLineChars="100"/>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jc w:val="center"/>
              <w:rPr>
                <w:rFonts w:ascii="宋体"/>
                <w:sz w:val="24"/>
              </w:rPr>
            </w:pPr>
            <w:r>
              <w:rPr>
                <w:rFonts w:hint="eastAsia" w:ascii="宋体" w:hAnsi="宋体"/>
                <w:sz w:val="24"/>
              </w:rPr>
              <w:t>1</w:t>
            </w:r>
            <w:r>
              <w:rPr>
                <w:rFonts w:ascii="宋体" w:hAnsi="宋体"/>
                <w:sz w:val="24"/>
              </w:rPr>
              <w:t>0 mg/l</w:t>
            </w:r>
          </w:p>
        </w:tc>
        <w:tc>
          <w:tcPr>
            <w:tcW w:w="1750" w:type="dxa"/>
            <w:noWrap w:val="0"/>
            <w:vAlign w:val="center"/>
          </w:tcPr>
          <w:p>
            <w:pPr>
              <w:spacing w:line="320" w:lineRule="exact"/>
              <w:jc w:val="center"/>
              <w:rPr>
                <w:rFonts w:ascii="宋体"/>
                <w:sz w:val="24"/>
              </w:rPr>
            </w:pPr>
            <w:r>
              <w:rPr>
                <w:rFonts w:hint="eastAsia" w:ascii="宋体"/>
                <w:sz w:val="24"/>
              </w:rPr>
              <w:t>稀释接种法</w:t>
            </w:r>
          </w:p>
        </w:tc>
        <w:tc>
          <w:tcPr>
            <w:tcW w:w="1572" w:type="dxa"/>
            <w:noWrap w:val="0"/>
            <w:vAlign w:val="center"/>
          </w:tcPr>
          <w:p>
            <w:pPr>
              <w:spacing w:line="320" w:lineRule="exact"/>
              <w:jc w:val="center"/>
              <w:rPr>
                <w:rFonts w:ascii="宋体"/>
                <w:sz w:val="24"/>
              </w:rPr>
            </w:pPr>
            <w:r>
              <w:rPr>
                <w:rFonts w:hint="eastAsia" w:ascii="宋体"/>
                <w:sz w:val="24"/>
              </w:rPr>
              <w:t>恒温培养箱</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noWrap w:val="0"/>
            <w:vAlign w:val="center"/>
          </w:tcPr>
          <w:p>
            <w:pPr>
              <w:spacing w:line="320" w:lineRule="exact"/>
              <w:jc w:val="center"/>
              <w:rPr>
                <w:rFonts w:ascii="宋体" w:hAnsi="宋体"/>
                <w:sz w:val="24"/>
              </w:rPr>
            </w:pPr>
            <w:r>
              <w:rPr>
                <w:rFonts w:ascii="宋体" w:hAnsi="宋体"/>
                <w:sz w:val="24"/>
              </w:rPr>
              <w:t>CODcr</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连续</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jc w:val="center"/>
              <w:rPr>
                <w:rFonts w:ascii="宋体"/>
                <w:sz w:val="24"/>
              </w:rPr>
            </w:pPr>
            <w:r>
              <w:rPr>
                <w:rFonts w:hint="eastAsia" w:ascii="宋体" w:hAnsi="宋体"/>
                <w:sz w:val="24"/>
              </w:rPr>
              <w:t>5</w:t>
            </w:r>
            <w:r>
              <w:rPr>
                <w:rFonts w:ascii="宋体" w:hAnsi="宋体"/>
                <w:sz w:val="24"/>
              </w:rPr>
              <w:t>0mg/l</w:t>
            </w:r>
          </w:p>
        </w:tc>
        <w:tc>
          <w:tcPr>
            <w:tcW w:w="1750" w:type="dxa"/>
            <w:noWrap w:val="0"/>
            <w:vAlign w:val="center"/>
          </w:tcPr>
          <w:p>
            <w:pPr>
              <w:spacing w:line="320" w:lineRule="exact"/>
              <w:jc w:val="center"/>
              <w:rPr>
                <w:rFonts w:ascii="宋体"/>
                <w:sz w:val="24"/>
              </w:rPr>
            </w:pPr>
            <w:r>
              <w:rPr>
                <w:rFonts w:hint="eastAsia" w:ascii="宋体" w:hAnsi="宋体"/>
                <w:sz w:val="24"/>
              </w:rPr>
              <w:t>重铬酸钾法</w:t>
            </w:r>
          </w:p>
        </w:tc>
        <w:tc>
          <w:tcPr>
            <w:tcW w:w="1572" w:type="dxa"/>
            <w:noWrap w:val="0"/>
            <w:vAlign w:val="center"/>
          </w:tcPr>
          <w:p>
            <w:pPr>
              <w:spacing w:line="320" w:lineRule="exact"/>
              <w:jc w:val="center"/>
              <w:rPr>
                <w:rFonts w:ascii="宋体"/>
                <w:sz w:val="24"/>
              </w:rPr>
            </w:pPr>
            <w:r>
              <w:rPr>
                <w:rFonts w:ascii="宋体" w:hAnsi="宋体"/>
                <w:sz w:val="24"/>
              </w:rPr>
              <w:t>CODmax</w:t>
            </w:r>
            <w:r>
              <w:rPr>
                <w:rFonts w:hint="eastAsia" w:ascii="宋体" w:hAnsi="宋体"/>
                <w:sz w:val="24"/>
              </w:rPr>
              <w:t>型</w:t>
            </w:r>
            <w:r>
              <w:rPr>
                <w:rFonts w:ascii="宋体" w:hAnsi="宋体"/>
                <w:sz w:val="24"/>
              </w:rPr>
              <w:t>COD</w:t>
            </w:r>
            <w:r>
              <w:rPr>
                <w:rFonts w:hint="eastAsia" w:ascii="宋体" w:hAnsi="宋体"/>
                <w:sz w:val="24"/>
              </w:rPr>
              <w:t>在线分析仪</w:t>
            </w:r>
          </w:p>
        </w:tc>
        <w:tc>
          <w:tcPr>
            <w:tcW w:w="801" w:type="dxa"/>
            <w:noWrap w:val="0"/>
            <w:vAlign w:val="top"/>
          </w:tcPr>
          <w:p>
            <w:pPr>
              <w:spacing w:line="320" w:lineRule="exact"/>
              <w:jc w:val="center"/>
              <w:rPr>
                <w:rFonts w:ascii="宋体"/>
                <w:sz w:val="24"/>
              </w:rPr>
            </w:pPr>
            <w:r>
              <w:rPr>
                <w:rFonts w:hint="eastAsia" w:ascii="宋体" w:hAnsi="宋体"/>
                <w:sz w:val="24"/>
              </w:rPr>
              <w:t>在线自动监测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noWrap w:val="0"/>
            <w:vAlign w:val="center"/>
          </w:tcPr>
          <w:p>
            <w:pPr>
              <w:spacing w:line="320" w:lineRule="exact"/>
              <w:jc w:val="center"/>
              <w:rPr>
                <w:rFonts w:ascii="宋体" w:hAnsi="宋体"/>
                <w:sz w:val="24"/>
              </w:rPr>
            </w:pPr>
            <w:r>
              <w:rPr>
                <w:rFonts w:ascii="宋体" w:hAnsi="宋体"/>
                <w:sz w:val="24"/>
              </w:rPr>
              <w:t>NH</w:t>
            </w:r>
            <w:r>
              <w:rPr>
                <w:rFonts w:ascii="宋体" w:hAnsi="宋体"/>
                <w:sz w:val="24"/>
                <w:vertAlign w:val="subscript"/>
              </w:rPr>
              <w:t>3</w:t>
            </w:r>
            <w:r>
              <w:rPr>
                <w:rFonts w:ascii="宋体" w:hAnsi="宋体"/>
                <w:sz w:val="24"/>
              </w:rPr>
              <w:t>-N</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连续</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jc w:val="center"/>
              <w:rPr>
                <w:rFonts w:ascii="宋体"/>
                <w:sz w:val="24"/>
              </w:rPr>
            </w:pPr>
            <w:r>
              <w:rPr>
                <w:rFonts w:hint="eastAsia" w:ascii="宋体" w:hAnsi="宋体"/>
                <w:sz w:val="24"/>
              </w:rPr>
              <w:t>5（8）</w:t>
            </w:r>
            <w:r>
              <w:rPr>
                <w:rFonts w:ascii="宋体" w:hAnsi="宋体"/>
                <w:sz w:val="24"/>
              </w:rPr>
              <w:t>mg/l</w:t>
            </w:r>
          </w:p>
        </w:tc>
        <w:tc>
          <w:tcPr>
            <w:tcW w:w="1750" w:type="dxa"/>
            <w:noWrap w:val="0"/>
            <w:vAlign w:val="center"/>
          </w:tcPr>
          <w:p>
            <w:pPr>
              <w:spacing w:line="320" w:lineRule="exact"/>
              <w:jc w:val="center"/>
              <w:rPr>
                <w:rFonts w:ascii="宋体"/>
                <w:sz w:val="24"/>
              </w:rPr>
            </w:pPr>
            <w:r>
              <w:rPr>
                <w:rFonts w:hint="eastAsia" w:ascii="宋体" w:hAnsi="宋体"/>
                <w:sz w:val="24"/>
              </w:rPr>
              <w:t>电极法</w:t>
            </w:r>
          </w:p>
        </w:tc>
        <w:tc>
          <w:tcPr>
            <w:tcW w:w="1572" w:type="dxa"/>
            <w:noWrap w:val="0"/>
            <w:vAlign w:val="center"/>
          </w:tcPr>
          <w:p>
            <w:pPr>
              <w:spacing w:line="320" w:lineRule="exact"/>
              <w:jc w:val="center"/>
              <w:rPr>
                <w:rFonts w:ascii="宋体"/>
                <w:sz w:val="24"/>
              </w:rPr>
            </w:pPr>
            <w:r>
              <w:rPr>
                <w:rFonts w:ascii="宋体" w:hAnsi="宋体"/>
                <w:sz w:val="24"/>
              </w:rPr>
              <w:t>Trescon Uno</w:t>
            </w:r>
            <w:r>
              <w:rPr>
                <w:rFonts w:hint="eastAsia" w:ascii="宋体" w:hAnsi="宋体"/>
                <w:sz w:val="24"/>
              </w:rPr>
              <w:t>型氨氮水质在线分析仪</w:t>
            </w:r>
          </w:p>
        </w:tc>
        <w:tc>
          <w:tcPr>
            <w:tcW w:w="801" w:type="dxa"/>
            <w:noWrap w:val="0"/>
            <w:vAlign w:val="top"/>
          </w:tcPr>
          <w:p>
            <w:pPr>
              <w:spacing w:line="320" w:lineRule="exact"/>
              <w:jc w:val="center"/>
              <w:rPr>
                <w:rFonts w:ascii="宋体"/>
                <w:sz w:val="24"/>
              </w:rPr>
            </w:pPr>
            <w:r>
              <w:rPr>
                <w:rFonts w:hint="eastAsia" w:ascii="宋体" w:hAnsi="宋体"/>
                <w:sz w:val="24"/>
              </w:rPr>
              <w:t>在线自动监测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noWrap w:val="0"/>
            <w:vAlign w:val="center"/>
          </w:tcPr>
          <w:p>
            <w:pPr>
              <w:spacing w:line="320" w:lineRule="exact"/>
              <w:jc w:val="center"/>
              <w:rPr>
                <w:rFonts w:ascii="宋体"/>
                <w:sz w:val="24"/>
              </w:rPr>
            </w:pPr>
            <w:r>
              <w:rPr>
                <w:rFonts w:ascii="宋体" w:hAnsi="宋体"/>
                <w:sz w:val="24"/>
              </w:rPr>
              <w:t>TP</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jc w:val="both"/>
              <w:rPr>
                <w:rFonts w:ascii="宋体"/>
                <w:sz w:val="24"/>
              </w:rPr>
            </w:pPr>
            <w:r>
              <w:rPr>
                <w:rFonts w:hint="eastAsia" w:ascii="宋体" w:hAnsi="宋体"/>
                <w:sz w:val="24"/>
              </w:rPr>
              <w:t>0.5</w:t>
            </w:r>
            <w:r>
              <w:rPr>
                <w:rFonts w:ascii="宋体" w:hAnsi="宋体"/>
                <w:sz w:val="24"/>
              </w:rPr>
              <w:t>mg/l</w:t>
            </w:r>
          </w:p>
        </w:tc>
        <w:tc>
          <w:tcPr>
            <w:tcW w:w="1750" w:type="dxa"/>
            <w:noWrap w:val="0"/>
            <w:vAlign w:val="center"/>
          </w:tcPr>
          <w:p>
            <w:pPr>
              <w:spacing w:line="320" w:lineRule="exact"/>
              <w:jc w:val="center"/>
              <w:rPr>
                <w:rFonts w:ascii="宋体"/>
                <w:sz w:val="24"/>
              </w:rPr>
            </w:pPr>
            <w:r>
              <w:rPr>
                <w:rFonts w:hint="eastAsia" w:ascii="宋体" w:hAnsi="宋体"/>
                <w:sz w:val="24"/>
              </w:rPr>
              <w:t>钼锑抗分光光度法</w:t>
            </w:r>
          </w:p>
        </w:tc>
        <w:tc>
          <w:tcPr>
            <w:tcW w:w="1572" w:type="dxa"/>
            <w:noWrap w:val="0"/>
            <w:vAlign w:val="center"/>
          </w:tcPr>
          <w:p>
            <w:pPr>
              <w:spacing w:line="320" w:lineRule="exact"/>
              <w:jc w:val="center"/>
              <w:rPr>
                <w:rFonts w:ascii="宋体"/>
                <w:sz w:val="24"/>
              </w:rPr>
            </w:pPr>
            <w:r>
              <w:rPr>
                <w:rFonts w:hint="eastAsia" w:ascii="宋体" w:hAnsi="宋体"/>
                <w:sz w:val="24"/>
              </w:rPr>
              <w:t>分光光度计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hAnsi="宋体"/>
                <w:sz w:val="24"/>
              </w:rPr>
            </w:pPr>
            <w:r>
              <w:rPr>
                <w:rFonts w:ascii="宋体" w:hAnsi="宋体"/>
                <w:sz w:val="24"/>
              </w:rPr>
              <w:t>TN</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jc w:val="center"/>
              <w:rPr>
                <w:rFonts w:ascii="宋体"/>
                <w:sz w:val="24"/>
              </w:rPr>
            </w:pPr>
            <w:r>
              <w:rPr>
                <w:rFonts w:hint="eastAsia" w:ascii="宋体" w:hAnsi="宋体"/>
                <w:sz w:val="24"/>
              </w:rPr>
              <w:t>15</w:t>
            </w:r>
            <w:r>
              <w:rPr>
                <w:rFonts w:ascii="宋体" w:hAnsi="宋体"/>
                <w:sz w:val="24"/>
              </w:rPr>
              <w:t xml:space="preserve"> mg/l</w:t>
            </w:r>
          </w:p>
        </w:tc>
        <w:tc>
          <w:tcPr>
            <w:tcW w:w="1750" w:type="dxa"/>
            <w:noWrap w:val="0"/>
            <w:vAlign w:val="center"/>
          </w:tcPr>
          <w:p>
            <w:pPr>
              <w:spacing w:line="320" w:lineRule="exact"/>
              <w:jc w:val="center"/>
              <w:rPr>
                <w:rFonts w:ascii="宋体"/>
                <w:sz w:val="24"/>
              </w:rPr>
            </w:pPr>
            <w:r>
              <w:rPr>
                <w:rFonts w:hint="eastAsia" w:ascii="宋体" w:hAnsi="宋体"/>
                <w:sz w:val="24"/>
              </w:rPr>
              <w:t>过硫酸钾氧化法</w:t>
            </w:r>
          </w:p>
        </w:tc>
        <w:tc>
          <w:tcPr>
            <w:tcW w:w="1572" w:type="dxa"/>
            <w:noWrap w:val="0"/>
            <w:vAlign w:val="center"/>
          </w:tcPr>
          <w:p>
            <w:pPr>
              <w:spacing w:line="320" w:lineRule="exact"/>
              <w:jc w:val="center"/>
              <w:rPr>
                <w:rFonts w:ascii="宋体"/>
                <w:sz w:val="24"/>
              </w:rPr>
            </w:pPr>
            <w:r>
              <w:rPr>
                <w:rFonts w:hint="eastAsia" w:ascii="宋体" w:hAnsi="宋体"/>
                <w:sz w:val="24"/>
              </w:rPr>
              <w:t>分光光度计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ascii="宋体" w:hAnsi="宋体"/>
                <w:sz w:val="24"/>
              </w:rPr>
              <w:t>SS</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ind w:firstLine="240" w:firstLineChars="100"/>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jc w:val="center"/>
              <w:rPr>
                <w:rFonts w:ascii="宋体"/>
                <w:sz w:val="24"/>
              </w:rPr>
            </w:pPr>
            <w:r>
              <w:rPr>
                <w:rFonts w:hint="eastAsia" w:ascii="宋体" w:hAnsi="宋体"/>
                <w:sz w:val="24"/>
              </w:rPr>
              <w:t>1</w:t>
            </w:r>
            <w:r>
              <w:rPr>
                <w:rFonts w:ascii="宋体" w:hAnsi="宋体"/>
                <w:sz w:val="24"/>
              </w:rPr>
              <w:t>0 mg/l</w:t>
            </w:r>
          </w:p>
        </w:tc>
        <w:tc>
          <w:tcPr>
            <w:tcW w:w="1750" w:type="dxa"/>
            <w:noWrap w:val="0"/>
            <w:vAlign w:val="center"/>
          </w:tcPr>
          <w:p>
            <w:pPr>
              <w:spacing w:line="320" w:lineRule="exact"/>
              <w:jc w:val="center"/>
              <w:rPr>
                <w:rFonts w:ascii="宋体"/>
                <w:sz w:val="24"/>
              </w:rPr>
            </w:pPr>
            <w:r>
              <w:rPr>
                <w:rFonts w:hint="eastAsia" w:ascii="宋体"/>
                <w:sz w:val="24"/>
              </w:rPr>
              <w:t>重量法</w:t>
            </w:r>
          </w:p>
        </w:tc>
        <w:tc>
          <w:tcPr>
            <w:tcW w:w="1572" w:type="dxa"/>
            <w:noWrap w:val="0"/>
            <w:vAlign w:val="center"/>
          </w:tcPr>
          <w:p>
            <w:pPr>
              <w:spacing w:line="320" w:lineRule="exact"/>
              <w:jc w:val="center"/>
              <w:rPr>
                <w:rFonts w:ascii="宋体"/>
                <w:sz w:val="24"/>
              </w:rPr>
            </w:pPr>
            <w:r>
              <w:rPr>
                <w:rFonts w:hint="eastAsia" w:ascii="宋体"/>
                <w:sz w:val="24"/>
              </w:rPr>
              <w:t>恒温培养箱</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动植物油</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jc w:val="center"/>
              <w:rPr>
                <w:rFonts w:ascii="宋体"/>
                <w:sz w:val="24"/>
              </w:rPr>
            </w:pPr>
            <w:r>
              <w:rPr>
                <w:rFonts w:hint="eastAsia" w:ascii="宋体" w:hAnsi="宋体"/>
                <w:sz w:val="24"/>
              </w:rPr>
              <w:t>1</w:t>
            </w:r>
            <w:r>
              <w:rPr>
                <w:rFonts w:ascii="宋体" w:hAnsi="宋体"/>
                <w:sz w:val="24"/>
              </w:rPr>
              <w:t>mg/l</w:t>
            </w:r>
          </w:p>
        </w:tc>
        <w:tc>
          <w:tcPr>
            <w:tcW w:w="1750" w:type="dxa"/>
            <w:noWrap w:val="0"/>
            <w:vAlign w:val="center"/>
          </w:tcPr>
          <w:p>
            <w:pPr>
              <w:spacing w:line="320" w:lineRule="exact"/>
              <w:jc w:val="center"/>
              <w:rPr>
                <w:rFonts w:ascii="宋体"/>
                <w:sz w:val="24"/>
              </w:rPr>
            </w:pPr>
            <w:r>
              <w:rPr>
                <w:rFonts w:hint="eastAsia" w:ascii="宋体"/>
                <w:sz w:val="24"/>
              </w:rPr>
              <w:t>红外分光光度法</w:t>
            </w:r>
          </w:p>
        </w:tc>
        <w:tc>
          <w:tcPr>
            <w:tcW w:w="1572" w:type="dxa"/>
            <w:noWrap w:val="0"/>
            <w:vAlign w:val="center"/>
          </w:tcPr>
          <w:p>
            <w:pPr>
              <w:spacing w:line="320" w:lineRule="exact"/>
              <w:jc w:val="center"/>
              <w:rPr>
                <w:rFonts w:ascii="宋体"/>
                <w:sz w:val="24"/>
              </w:rPr>
            </w:pPr>
            <w:r>
              <w:rPr>
                <w:rFonts w:hint="eastAsia" w:ascii="宋体" w:hAnsi="宋体"/>
                <w:sz w:val="24"/>
              </w:rPr>
              <w:t>分光光度计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石油类</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ind w:firstLine="120" w:firstLineChars="50"/>
              <w:rPr>
                <w:rFonts w:ascii="宋体"/>
                <w:sz w:val="24"/>
              </w:rPr>
            </w:pPr>
            <w:r>
              <w:rPr>
                <w:rFonts w:hint="eastAsia" w:ascii="宋体" w:hAnsi="宋体"/>
                <w:sz w:val="24"/>
              </w:rPr>
              <w:t>1</w:t>
            </w:r>
            <w:r>
              <w:rPr>
                <w:rFonts w:ascii="宋体" w:hAnsi="宋体"/>
                <w:sz w:val="24"/>
              </w:rPr>
              <w:t>mg/l</w:t>
            </w:r>
          </w:p>
        </w:tc>
        <w:tc>
          <w:tcPr>
            <w:tcW w:w="1750" w:type="dxa"/>
            <w:noWrap w:val="0"/>
            <w:vAlign w:val="center"/>
          </w:tcPr>
          <w:p>
            <w:pPr>
              <w:spacing w:line="320" w:lineRule="exact"/>
              <w:jc w:val="center"/>
              <w:rPr>
                <w:rFonts w:ascii="宋体"/>
                <w:sz w:val="24"/>
              </w:rPr>
            </w:pPr>
            <w:r>
              <w:rPr>
                <w:rFonts w:hint="eastAsia" w:ascii="宋体"/>
                <w:sz w:val="24"/>
              </w:rPr>
              <w:t>红外分光光度法</w:t>
            </w:r>
          </w:p>
        </w:tc>
        <w:tc>
          <w:tcPr>
            <w:tcW w:w="1572" w:type="dxa"/>
            <w:noWrap w:val="0"/>
            <w:vAlign w:val="center"/>
          </w:tcPr>
          <w:p>
            <w:pPr>
              <w:spacing w:line="320" w:lineRule="exact"/>
              <w:jc w:val="center"/>
              <w:rPr>
                <w:rFonts w:ascii="宋体"/>
                <w:sz w:val="24"/>
              </w:rPr>
            </w:pPr>
            <w:r>
              <w:rPr>
                <w:rFonts w:hint="eastAsia" w:ascii="宋体" w:hAnsi="宋体"/>
                <w:sz w:val="24"/>
              </w:rPr>
              <w:t>分光光度计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阴离子表面活性剂</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rPr>
                <w:rFonts w:hint="eastAsia" w:ascii="宋体"/>
                <w:sz w:val="24"/>
              </w:rPr>
            </w:pPr>
            <w:r>
              <w:rPr>
                <w:rFonts w:hint="eastAsia" w:ascii="宋体" w:hAnsi="宋体"/>
                <w:sz w:val="24"/>
              </w:rPr>
              <w:t>0.5</w:t>
            </w:r>
            <w:r>
              <w:rPr>
                <w:rFonts w:ascii="宋体" w:hAnsi="宋体"/>
                <w:sz w:val="24"/>
              </w:rPr>
              <w:t>mg/</w:t>
            </w:r>
            <w:r>
              <w:rPr>
                <w:rFonts w:hint="eastAsia" w:ascii="宋体" w:hAnsi="宋体"/>
                <w:sz w:val="24"/>
              </w:rPr>
              <w:t>l</w:t>
            </w:r>
          </w:p>
        </w:tc>
        <w:tc>
          <w:tcPr>
            <w:tcW w:w="1750" w:type="dxa"/>
            <w:noWrap w:val="0"/>
            <w:vAlign w:val="center"/>
          </w:tcPr>
          <w:p>
            <w:pPr>
              <w:spacing w:line="320" w:lineRule="exact"/>
              <w:jc w:val="center"/>
              <w:rPr>
                <w:rFonts w:ascii="宋体"/>
                <w:sz w:val="24"/>
              </w:rPr>
            </w:pPr>
            <w:r>
              <w:rPr>
                <w:rFonts w:hint="eastAsia" w:ascii="宋体"/>
                <w:sz w:val="24"/>
              </w:rPr>
              <w:t>亚甲蓝分光光度法</w:t>
            </w:r>
          </w:p>
        </w:tc>
        <w:tc>
          <w:tcPr>
            <w:tcW w:w="1572" w:type="dxa"/>
            <w:noWrap w:val="0"/>
            <w:vAlign w:val="center"/>
          </w:tcPr>
          <w:p>
            <w:pPr>
              <w:spacing w:line="320" w:lineRule="exact"/>
              <w:jc w:val="center"/>
              <w:rPr>
                <w:rFonts w:ascii="宋体"/>
                <w:sz w:val="24"/>
              </w:rPr>
            </w:pPr>
            <w:r>
              <w:rPr>
                <w:rFonts w:hint="eastAsia" w:ascii="宋体" w:hAnsi="宋体"/>
                <w:sz w:val="24"/>
              </w:rPr>
              <w:t>分光光度计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色度</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jc w:val="center"/>
              <w:rPr>
                <w:rFonts w:ascii="宋体"/>
                <w:sz w:val="24"/>
              </w:rPr>
            </w:pPr>
            <w:r>
              <w:rPr>
                <w:rFonts w:ascii="宋体" w:hAnsi="宋体"/>
                <w:sz w:val="24"/>
              </w:rPr>
              <w:t>30 mg/l</w:t>
            </w:r>
          </w:p>
        </w:tc>
        <w:tc>
          <w:tcPr>
            <w:tcW w:w="1750" w:type="dxa"/>
            <w:noWrap w:val="0"/>
            <w:vAlign w:val="center"/>
          </w:tcPr>
          <w:p>
            <w:pPr>
              <w:spacing w:line="320" w:lineRule="exact"/>
              <w:jc w:val="center"/>
              <w:rPr>
                <w:rFonts w:ascii="宋体"/>
                <w:sz w:val="24"/>
              </w:rPr>
            </w:pPr>
            <w:r>
              <w:rPr>
                <w:rFonts w:hint="eastAsia" w:ascii="宋体"/>
                <w:sz w:val="24"/>
              </w:rPr>
              <w:t>目视比色法</w:t>
            </w:r>
          </w:p>
        </w:tc>
        <w:tc>
          <w:tcPr>
            <w:tcW w:w="1572" w:type="dxa"/>
            <w:noWrap w:val="0"/>
            <w:vAlign w:val="center"/>
          </w:tcPr>
          <w:p>
            <w:pPr>
              <w:spacing w:line="320" w:lineRule="exact"/>
              <w:jc w:val="center"/>
              <w:rPr>
                <w:rFonts w:ascii="宋体"/>
                <w:sz w:val="24"/>
              </w:rPr>
            </w:pPr>
            <w:r>
              <w:rPr>
                <w:rFonts w:hint="eastAsia" w:ascii="宋体"/>
                <w:sz w:val="24"/>
              </w:rPr>
              <w:t>比色管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restart"/>
            <w:noWrap w:val="0"/>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sz w:val="24"/>
              </w:rPr>
            </w:pPr>
          </w:p>
        </w:tc>
        <w:tc>
          <w:tcPr>
            <w:tcW w:w="1577" w:type="dxa"/>
            <w:tcBorders>
              <w:left w:val="nil"/>
            </w:tcBorders>
            <w:noWrap w:val="0"/>
            <w:vAlign w:val="center"/>
          </w:tcPr>
          <w:p>
            <w:pPr>
              <w:spacing w:line="320" w:lineRule="exact"/>
              <w:jc w:val="center"/>
              <w:rPr>
                <w:rFonts w:ascii="宋体" w:hAnsi="宋体"/>
                <w:sz w:val="24"/>
              </w:rPr>
            </w:pPr>
            <w:r>
              <w:rPr>
                <w:rFonts w:ascii="宋体" w:hAnsi="宋体"/>
                <w:sz w:val="24"/>
              </w:rPr>
              <w:t>PH</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ind w:firstLine="240" w:firstLineChars="100"/>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 标准</w:t>
            </w:r>
          </w:p>
        </w:tc>
        <w:tc>
          <w:tcPr>
            <w:tcW w:w="1191" w:type="dxa"/>
            <w:noWrap w:val="0"/>
            <w:vAlign w:val="center"/>
          </w:tcPr>
          <w:p>
            <w:pPr>
              <w:spacing w:line="320" w:lineRule="exact"/>
              <w:jc w:val="center"/>
              <w:rPr>
                <w:rFonts w:hint="eastAsia" w:ascii="宋体" w:hAnsi="宋体"/>
                <w:sz w:val="24"/>
              </w:rPr>
            </w:pPr>
            <w:r>
              <w:rPr>
                <w:rFonts w:hint="eastAsia" w:ascii="宋体" w:hAnsi="宋体"/>
                <w:sz w:val="24"/>
              </w:rPr>
              <w:t>6-9</w:t>
            </w:r>
            <w:r>
              <w:rPr>
                <w:rFonts w:ascii="宋体" w:hAnsi="宋体"/>
                <w:sz w:val="24"/>
              </w:rPr>
              <w:t xml:space="preserve"> mg/l</w:t>
            </w:r>
          </w:p>
        </w:tc>
        <w:tc>
          <w:tcPr>
            <w:tcW w:w="1750" w:type="dxa"/>
            <w:noWrap w:val="0"/>
            <w:vAlign w:val="center"/>
          </w:tcPr>
          <w:p>
            <w:pPr>
              <w:spacing w:line="320" w:lineRule="exact"/>
              <w:jc w:val="center"/>
              <w:rPr>
                <w:rFonts w:ascii="宋体"/>
                <w:sz w:val="24"/>
              </w:rPr>
            </w:pPr>
            <w:r>
              <w:rPr>
                <w:rFonts w:hint="eastAsia" w:ascii="宋体" w:hAnsi="宋体"/>
                <w:sz w:val="24"/>
              </w:rPr>
              <w:t>玻璃电极法</w:t>
            </w:r>
          </w:p>
        </w:tc>
        <w:tc>
          <w:tcPr>
            <w:tcW w:w="1572" w:type="dxa"/>
            <w:noWrap w:val="0"/>
            <w:vAlign w:val="center"/>
          </w:tcPr>
          <w:p>
            <w:pPr>
              <w:spacing w:line="320" w:lineRule="exact"/>
              <w:jc w:val="center"/>
              <w:rPr>
                <w:rFonts w:ascii="宋体"/>
                <w:sz w:val="24"/>
              </w:rPr>
            </w:pPr>
            <w:r>
              <w:rPr>
                <w:rFonts w:hint="eastAsia" w:ascii="宋体" w:hAnsi="宋体"/>
                <w:sz w:val="24"/>
              </w:rPr>
              <w:t>酸度计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粪大肠菌群</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ind w:firstLine="240" w:firstLineChars="100"/>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r>
              <w:rPr>
                <w:rFonts w:hint="eastAsia" w:ascii="宋体" w:hAnsi="宋体"/>
                <w:sz w:val="24"/>
              </w:rPr>
              <w:t>中的一级A标准</w:t>
            </w:r>
          </w:p>
        </w:tc>
        <w:tc>
          <w:tcPr>
            <w:tcW w:w="1191" w:type="dxa"/>
            <w:noWrap w:val="0"/>
            <w:vAlign w:val="center"/>
          </w:tcPr>
          <w:p>
            <w:pPr>
              <w:spacing w:line="320" w:lineRule="exact"/>
              <w:jc w:val="center"/>
              <w:rPr>
                <w:rFonts w:ascii="宋体"/>
                <w:sz w:val="24"/>
              </w:rPr>
            </w:pPr>
            <w:r>
              <w:rPr>
                <w:rFonts w:ascii="宋体" w:hAnsi="宋体"/>
                <w:sz w:val="24"/>
              </w:rPr>
              <w:t>1000</w:t>
            </w:r>
          </w:p>
        </w:tc>
        <w:tc>
          <w:tcPr>
            <w:tcW w:w="1750" w:type="dxa"/>
            <w:noWrap w:val="0"/>
            <w:vAlign w:val="center"/>
          </w:tcPr>
          <w:p>
            <w:pPr>
              <w:spacing w:line="320" w:lineRule="exact"/>
              <w:jc w:val="center"/>
              <w:rPr>
                <w:rFonts w:ascii="宋体"/>
                <w:sz w:val="24"/>
              </w:rPr>
            </w:pPr>
            <w:r>
              <w:rPr>
                <w:rFonts w:hint="eastAsia" w:ascii="宋体"/>
                <w:sz w:val="24"/>
              </w:rPr>
              <w:t>多管发酵法</w:t>
            </w:r>
          </w:p>
        </w:tc>
        <w:tc>
          <w:tcPr>
            <w:tcW w:w="1572" w:type="dxa"/>
            <w:noWrap w:val="0"/>
            <w:vAlign w:val="center"/>
          </w:tcPr>
          <w:p>
            <w:pPr>
              <w:spacing w:line="320" w:lineRule="exact"/>
              <w:jc w:val="center"/>
              <w:rPr>
                <w:rFonts w:ascii="宋体"/>
                <w:sz w:val="24"/>
              </w:rPr>
            </w:pPr>
            <w:r>
              <w:rPr>
                <w:rFonts w:hint="eastAsia" w:ascii="宋体"/>
                <w:sz w:val="24"/>
              </w:rPr>
              <w:t>恒温培养箱</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总汞</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p>
        </w:tc>
        <w:tc>
          <w:tcPr>
            <w:tcW w:w="1191" w:type="dxa"/>
            <w:noWrap w:val="0"/>
            <w:vAlign w:val="center"/>
          </w:tcPr>
          <w:p>
            <w:pPr>
              <w:jc w:val="center"/>
              <w:rPr>
                <w:rFonts w:ascii="宋体" w:hAnsi="宋体"/>
                <w:sz w:val="24"/>
              </w:rPr>
            </w:pPr>
            <w:r>
              <w:rPr>
                <w:rFonts w:ascii="宋体" w:hAnsi="宋体"/>
                <w:sz w:val="24"/>
              </w:rPr>
              <w:t>0.001</w:t>
            </w:r>
          </w:p>
          <w:p>
            <w:pPr>
              <w:jc w:val="center"/>
              <w:rPr>
                <w:rFonts w:ascii="宋体" w:hAnsi="宋体"/>
                <w:sz w:val="24"/>
              </w:rPr>
            </w:pPr>
            <w:r>
              <w:rPr>
                <w:rFonts w:ascii="宋体" w:hAnsi="宋体"/>
                <w:sz w:val="24"/>
              </w:rPr>
              <w:t>mg/l</w:t>
            </w:r>
          </w:p>
        </w:tc>
        <w:tc>
          <w:tcPr>
            <w:tcW w:w="1750" w:type="dxa"/>
            <w:noWrap w:val="0"/>
            <w:vAlign w:val="center"/>
          </w:tcPr>
          <w:p>
            <w:pPr>
              <w:spacing w:line="320" w:lineRule="exact"/>
              <w:rPr>
                <w:rFonts w:ascii="宋体"/>
                <w:sz w:val="24"/>
              </w:rPr>
            </w:pPr>
            <w:r>
              <w:rPr>
                <w:rFonts w:hint="eastAsia" w:ascii="宋体"/>
                <w:sz w:val="24"/>
              </w:rPr>
              <w:t>双硫腙光度法</w:t>
            </w:r>
          </w:p>
        </w:tc>
        <w:tc>
          <w:tcPr>
            <w:tcW w:w="1572" w:type="dxa"/>
            <w:noWrap w:val="0"/>
            <w:vAlign w:val="center"/>
          </w:tcPr>
          <w:p>
            <w:pPr>
              <w:spacing w:line="320" w:lineRule="exact"/>
              <w:jc w:val="center"/>
              <w:rPr>
                <w:rFonts w:ascii="宋体"/>
                <w:sz w:val="24"/>
              </w:rPr>
            </w:pPr>
            <w:r>
              <w:rPr>
                <w:rFonts w:hint="eastAsia" w:ascii="宋体" w:hAnsi="宋体"/>
                <w:sz w:val="24"/>
              </w:rPr>
              <w:t>分光光度计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烷基汞</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ind w:firstLine="240" w:firstLineChars="100"/>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p>
        </w:tc>
        <w:tc>
          <w:tcPr>
            <w:tcW w:w="1191" w:type="dxa"/>
            <w:noWrap w:val="0"/>
            <w:vAlign w:val="center"/>
          </w:tcPr>
          <w:p>
            <w:pPr>
              <w:spacing w:line="320" w:lineRule="exact"/>
              <w:jc w:val="center"/>
              <w:rPr>
                <w:rFonts w:ascii="宋体"/>
                <w:sz w:val="24"/>
              </w:rPr>
            </w:pPr>
            <w:r>
              <w:rPr>
                <w:rFonts w:hint="eastAsia" w:ascii="宋体" w:hAnsi="宋体"/>
                <w:sz w:val="24"/>
              </w:rPr>
              <w:t>不得检出</w:t>
            </w:r>
          </w:p>
        </w:tc>
        <w:tc>
          <w:tcPr>
            <w:tcW w:w="1750" w:type="dxa"/>
            <w:noWrap w:val="0"/>
            <w:vAlign w:val="center"/>
          </w:tcPr>
          <w:p>
            <w:pPr>
              <w:spacing w:line="320" w:lineRule="exact"/>
              <w:jc w:val="center"/>
              <w:rPr>
                <w:rFonts w:ascii="宋体"/>
                <w:sz w:val="24"/>
              </w:rPr>
            </w:pPr>
            <w:r>
              <w:rPr>
                <w:rFonts w:hint="eastAsia" w:ascii="宋体"/>
                <w:sz w:val="24"/>
              </w:rPr>
              <w:t>气相色谱法</w:t>
            </w:r>
          </w:p>
        </w:tc>
        <w:tc>
          <w:tcPr>
            <w:tcW w:w="1572" w:type="dxa"/>
            <w:noWrap w:val="0"/>
            <w:vAlign w:val="center"/>
          </w:tcPr>
          <w:p>
            <w:pPr>
              <w:spacing w:line="320" w:lineRule="exact"/>
              <w:jc w:val="center"/>
              <w:rPr>
                <w:rFonts w:ascii="宋体"/>
                <w:sz w:val="24"/>
              </w:rPr>
            </w:pPr>
            <w:r>
              <w:rPr>
                <w:rFonts w:hint="eastAsia" w:ascii="宋体"/>
                <w:sz w:val="24"/>
              </w:rPr>
              <w:t>气相色谱</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总镉</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p>
        </w:tc>
        <w:tc>
          <w:tcPr>
            <w:tcW w:w="1191" w:type="dxa"/>
            <w:noWrap w:val="0"/>
            <w:vAlign w:val="center"/>
          </w:tcPr>
          <w:p>
            <w:pPr>
              <w:spacing w:line="320" w:lineRule="exact"/>
              <w:jc w:val="center"/>
              <w:rPr>
                <w:rFonts w:ascii="宋体"/>
                <w:sz w:val="24"/>
              </w:rPr>
            </w:pPr>
            <w:r>
              <w:rPr>
                <w:rFonts w:ascii="宋体" w:hAnsi="宋体"/>
                <w:sz w:val="24"/>
              </w:rPr>
              <w:t>0.01mg/l</w:t>
            </w:r>
          </w:p>
        </w:tc>
        <w:tc>
          <w:tcPr>
            <w:tcW w:w="1750" w:type="dxa"/>
            <w:noWrap w:val="0"/>
            <w:vAlign w:val="center"/>
          </w:tcPr>
          <w:p>
            <w:pPr>
              <w:spacing w:line="320" w:lineRule="exact"/>
              <w:jc w:val="center"/>
              <w:rPr>
                <w:rFonts w:ascii="宋体"/>
                <w:sz w:val="24"/>
              </w:rPr>
            </w:pPr>
            <w:r>
              <w:rPr>
                <w:rFonts w:hint="eastAsia" w:ascii="宋体"/>
                <w:sz w:val="24"/>
              </w:rPr>
              <w:t>火焰原子吸收法</w:t>
            </w:r>
          </w:p>
        </w:tc>
        <w:tc>
          <w:tcPr>
            <w:tcW w:w="1572" w:type="dxa"/>
            <w:noWrap w:val="0"/>
            <w:vAlign w:val="center"/>
          </w:tcPr>
          <w:p>
            <w:pPr>
              <w:spacing w:line="320" w:lineRule="exact"/>
              <w:jc w:val="center"/>
              <w:rPr>
                <w:rFonts w:ascii="宋体"/>
                <w:sz w:val="24"/>
              </w:rPr>
            </w:pPr>
            <w:r>
              <w:rPr>
                <w:rFonts w:hint="eastAsia" w:ascii="宋体"/>
                <w:sz w:val="24"/>
              </w:rPr>
              <w:t>火焰原子吸收</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六价铬</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p>
        </w:tc>
        <w:tc>
          <w:tcPr>
            <w:tcW w:w="1191" w:type="dxa"/>
            <w:noWrap w:val="0"/>
            <w:vAlign w:val="center"/>
          </w:tcPr>
          <w:p>
            <w:pPr>
              <w:spacing w:line="320" w:lineRule="exact"/>
              <w:jc w:val="center"/>
              <w:rPr>
                <w:rFonts w:ascii="宋体"/>
                <w:sz w:val="24"/>
              </w:rPr>
            </w:pPr>
            <w:r>
              <w:rPr>
                <w:rFonts w:ascii="宋体" w:hAnsi="宋体"/>
                <w:sz w:val="24"/>
              </w:rPr>
              <w:t>0.05mg/l</w:t>
            </w:r>
          </w:p>
        </w:tc>
        <w:tc>
          <w:tcPr>
            <w:tcW w:w="1750" w:type="dxa"/>
            <w:noWrap w:val="0"/>
            <w:vAlign w:val="center"/>
          </w:tcPr>
          <w:p>
            <w:pPr>
              <w:spacing w:line="320" w:lineRule="exact"/>
              <w:jc w:val="center"/>
              <w:rPr>
                <w:rFonts w:ascii="宋体"/>
                <w:sz w:val="24"/>
              </w:rPr>
            </w:pPr>
            <w:r>
              <w:rPr>
                <w:rFonts w:hint="eastAsia" w:ascii="宋体" w:hAnsi="宋体"/>
                <w:sz w:val="24"/>
              </w:rPr>
              <w:t>二苯碳酰二肼分光光度法</w:t>
            </w:r>
          </w:p>
        </w:tc>
        <w:tc>
          <w:tcPr>
            <w:tcW w:w="1572" w:type="dxa"/>
            <w:noWrap w:val="0"/>
            <w:vAlign w:val="center"/>
          </w:tcPr>
          <w:p>
            <w:pPr>
              <w:spacing w:line="320" w:lineRule="exact"/>
              <w:jc w:val="center"/>
              <w:rPr>
                <w:rFonts w:ascii="宋体"/>
                <w:sz w:val="24"/>
              </w:rPr>
            </w:pPr>
            <w:r>
              <w:rPr>
                <w:rFonts w:hint="eastAsia" w:ascii="宋体" w:hAnsi="宋体"/>
                <w:sz w:val="24"/>
              </w:rPr>
              <w:t>分光光度计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总砷</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p>
        </w:tc>
        <w:tc>
          <w:tcPr>
            <w:tcW w:w="1191" w:type="dxa"/>
            <w:noWrap w:val="0"/>
            <w:vAlign w:val="center"/>
          </w:tcPr>
          <w:p>
            <w:pPr>
              <w:spacing w:line="320" w:lineRule="exact"/>
              <w:jc w:val="center"/>
              <w:rPr>
                <w:rFonts w:ascii="宋体"/>
                <w:sz w:val="24"/>
              </w:rPr>
            </w:pPr>
            <w:r>
              <w:rPr>
                <w:rFonts w:ascii="宋体" w:hAnsi="宋体"/>
                <w:sz w:val="24"/>
              </w:rPr>
              <w:t>0.1mg/l</w:t>
            </w:r>
          </w:p>
        </w:tc>
        <w:tc>
          <w:tcPr>
            <w:tcW w:w="1750" w:type="dxa"/>
            <w:noWrap w:val="0"/>
            <w:vAlign w:val="center"/>
          </w:tcPr>
          <w:p>
            <w:pPr>
              <w:spacing w:line="320" w:lineRule="exact"/>
              <w:jc w:val="center"/>
              <w:rPr>
                <w:rFonts w:ascii="宋体"/>
                <w:sz w:val="24"/>
              </w:rPr>
            </w:pPr>
            <w:r>
              <w:rPr>
                <w:rFonts w:hint="eastAsia" w:ascii="宋体"/>
                <w:sz w:val="24"/>
              </w:rPr>
              <w:t>分光光度法</w:t>
            </w:r>
          </w:p>
        </w:tc>
        <w:tc>
          <w:tcPr>
            <w:tcW w:w="1572" w:type="dxa"/>
            <w:noWrap w:val="0"/>
            <w:vAlign w:val="center"/>
          </w:tcPr>
          <w:p>
            <w:pPr>
              <w:spacing w:line="320" w:lineRule="exact"/>
              <w:jc w:val="center"/>
              <w:rPr>
                <w:rFonts w:ascii="宋体"/>
                <w:sz w:val="24"/>
              </w:rPr>
            </w:pPr>
            <w:r>
              <w:rPr>
                <w:rFonts w:hint="eastAsia" w:ascii="宋体" w:hAnsi="宋体"/>
                <w:sz w:val="24"/>
              </w:rPr>
              <w:t>分光光度计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ascii="宋体"/>
                <w:sz w:val="24"/>
              </w:rPr>
            </w:pPr>
            <w:r>
              <w:rPr>
                <w:rFonts w:hint="eastAsia" w:ascii="宋体" w:hAnsi="宋体"/>
                <w:sz w:val="24"/>
              </w:rPr>
              <w:t>总铅</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p>
        </w:tc>
        <w:tc>
          <w:tcPr>
            <w:tcW w:w="1191" w:type="dxa"/>
            <w:noWrap w:val="0"/>
            <w:vAlign w:val="center"/>
          </w:tcPr>
          <w:p>
            <w:pPr>
              <w:spacing w:line="320" w:lineRule="exact"/>
              <w:jc w:val="center"/>
              <w:rPr>
                <w:rFonts w:ascii="宋体"/>
                <w:sz w:val="24"/>
              </w:rPr>
            </w:pPr>
            <w:r>
              <w:rPr>
                <w:rFonts w:ascii="宋体" w:hAnsi="宋体"/>
                <w:sz w:val="24"/>
              </w:rPr>
              <w:t>0.1 mg/l</w:t>
            </w:r>
          </w:p>
        </w:tc>
        <w:tc>
          <w:tcPr>
            <w:tcW w:w="1750" w:type="dxa"/>
            <w:noWrap w:val="0"/>
            <w:vAlign w:val="center"/>
          </w:tcPr>
          <w:p>
            <w:pPr>
              <w:spacing w:line="320" w:lineRule="exact"/>
              <w:jc w:val="center"/>
              <w:rPr>
                <w:rFonts w:ascii="宋体"/>
                <w:sz w:val="24"/>
              </w:rPr>
            </w:pPr>
            <w:r>
              <w:rPr>
                <w:rFonts w:hint="eastAsia" w:ascii="宋体"/>
                <w:sz w:val="24"/>
              </w:rPr>
              <w:t>火焰原子吸收法</w:t>
            </w:r>
          </w:p>
        </w:tc>
        <w:tc>
          <w:tcPr>
            <w:tcW w:w="1572" w:type="dxa"/>
            <w:noWrap w:val="0"/>
            <w:vAlign w:val="center"/>
          </w:tcPr>
          <w:p>
            <w:pPr>
              <w:spacing w:line="320" w:lineRule="exact"/>
              <w:jc w:val="center"/>
              <w:rPr>
                <w:rFonts w:ascii="宋体"/>
                <w:sz w:val="24"/>
              </w:rPr>
            </w:pPr>
            <w:r>
              <w:rPr>
                <w:rFonts w:hint="eastAsia" w:ascii="宋体"/>
                <w:sz w:val="24"/>
              </w:rPr>
              <w:t>火焰原子吸收</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26" w:type="dxa"/>
            <w:vMerge w:val="continue"/>
            <w:noWrap w:val="0"/>
            <w:vAlign w:val="center"/>
          </w:tcPr>
          <w:p>
            <w:pPr>
              <w:spacing w:line="320" w:lineRule="exact"/>
              <w:jc w:val="center"/>
              <w:rPr>
                <w:sz w:val="24"/>
              </w:rPr>
            </w:pPr>
          </w:p>
        </w:tc>
        <w:tc>
          <w:tcPr>
            <w:tcW w:w="1577" w:type="dxa"/>
            <w:tcBorders>
              <w:left w:val="nil"/>
            </w:tcBorders>
            <w:noWrap w:val="0"/>
            <w:vAlign w:val="center"/>
          </w:tcPr>
          <w:p>
            <w:pPr>
              <w:spacing w:line="320" w:lineRule="exact"/>
              <w:jc w:val="center"/>
              <w:rPr>
                <w:rFonts w:hint="eastAsia" w:ascii="宋体" w:hAnsi="宋体"/>
                <w:sz w:val="24"/>
              </w:rPr>
            </w:pPr>
            <w:r>
              <w:rPr>
                <w:rFonts w:hint="eastAsia" w:ascii="宋体" w:hAnsi="宋体"/>
                <w:sz w:val="24"/>
              </w:rPr>
              <w:t>总铬</w:t>
            </w:r>
          </w:p>
        </w:tc>
        <w:tc>
          <w:tcPr>
            <w:tcW w:w="1155" w:type="dxa"/>
            <w:noWrap w:val="0"/>
            <w:vAlign w:val="center"/>
          </w:tcPr>
          <w:p>
            <w:pPr>
              <w:spacing w:line="320" w:lineRule="exact"/>
              <w:jc w:val="center"/>
              <w:rPr>
                <w:rFonts w:ascii="宋体" w:hAnsi="宋体"/>
                <w:sz w:val="24"/>
              </w:rPr>
            </w:pPr>
            <w:r>
              <w:rPr>
                <w:rFonts w:ascii="宋体" w:hAnsi="宋体"/>
                <w:sz w:val="24"/>
              </w:rPr>
              <w:t>S1</w:t>
            </w:r>
          </w:p>
        </w:tc>
        <w:tc>
          <w:tcPr>
            <w:tcW w:w="1259" w:type="dxa"/>
            <w:noWrap w:val="0"/>
            <w:vAlign w:val="center"/>
          </w:tcPr>
          <w:p>
            <w:pPr>
              <w:spacing w:line="320" w:lineRule="exact"/>
              <w:jc w:val="center"/>
              <w:rPr>
                <w:rFonts w:ascii="宋体"/>
                <w:sz w:val="24"/>
              </w:rPr>
            </w:pPr>
            <w:r>
              <w:rPr>
                <w:rFonts w:hint="eastAsia" w:ascii="宋体" w:hAnsi="宋体"/>
                <w:sz w:val="24"/>
              </w:rPr>
              <w:t>每月</w:t>
            </w:r>
          </w:p>
        </w:tc>
        <w:tc>
          <w:tcPr>
            <w:tcW w:w="3884" w:type="dxa"/>
            <w:noWrap w:val="0"/>
            <w:vAlign w:val="center"/>
          </w:tcPr>
          <w:p>
            <w:pPr>
              <w:spacing w:line="320" w:lineRule="exact"/>
              <w:jc w:val="center"/>
              <w:rPr>
                <w:rFonts w:ascii="宋体" w:hAnsi="宋体"/>
                <w:sz w:val="24"/>
              </w:rPr>
            </w:pPr>
            <w:r>
              <w:rPr>
                <w:rFonts w:hint="eastAsia" w:ascii="宋体" w:hAnsi="宋体"/>
                <w:sz w:val="24"/>
              </w:rPr>
              <w:t>《城镇污水处理厂污染物排放标准》</w:t>
            </w:r>
            <w:r>
              <w:rPr>
                <w:rFonts w:ascii="宋体" w:hAnsi="宋体"/>
                <w:sz w:val="24"/>
              </w:rPr>
              <w:t>GB18918-2002</w:t>
            </w:r>
          </w:p>
        </w:tc>
        <w:tc>
          <w:tcPr>
            <w:tcW w:w="1191" w:type="dxa"/>
            <w:noWrap w:val="0"/>
            <w:vAlign w:val="center"/>
          </w:tcPr>
          <w:p>
            <w:pPr>
              <w:spacing w:line="320" w:lineRule="exact"/>
              <w:jc w:val="center"/>
              <w:rPr>
                <w:rFonts w:ascii="宋体"/>
                <w:sz w:val="24"/>
              </w:rPr>
            </w:pPr>
            <w:r>
              <w:rPr>
                <w:rFonts w:ascii="宋体" w:hAnsi="宋体"/>
                <w:sz w:val="24"/>
              </w:rPr>
              <w:t>0.1 mg/l</w:t>
            </w:r>
          </w:p>
        </w:tc>
        <w:tc>
          <w:tcPr>
            <w:tcW w:w="1750" w:type="dxa"/>
            <w:noWrap w:val="0"/>
            <w:vAlign w:val="center"/>
          </w:tcPr>
          <w:p>
            <w:pPr>
              <w:spacing w:line="320" w:lineRule="exact"/>
              <w:jc w:val="center"/>
              <w:rPr>
                <w:rFonts w:ascii="宋体"/>
                <w:sz w:val="24"/>
              </w:rPr>
            </w:pPr>
            <w:r>
              <w:rPr>
                <w:rFonts w:hint="eastAsia" w:ascii="宋体" w:hAnsi="宋体"/>
                <w:sz w:val="24"/>
              </w:rPr>
              <w:t>高锰酸钾氧化二苯碳酰二肼分光光度法</w:t>
            </w:r>
          </w:p>
        </w:tc>
        <w:tc>
          <w:tcPr>
            <w:tcW w:w="1572" w:type="dxa"/>
            <w:noWrap w:val="0"/>
            <w:vAlign w:val="center"/>
          </w:tcPr>
          <w:p>
            <w:pPr>
              <w:spacing w:line="320" w:lineRule="exact"/>
              <w:jc w:val="center"/>
              <w:rPr>
                <w:rFonts w:ascii="宋体"/>
                <w:sz w:val="24"/>
              </w:rPr>
            </w:pPr>
            <w:r>
              <w:rPr>
                <w:rFonts w:hint="eastAsia" w:ascii="宋体" w:hAnsi="宋体"/>
                <w:sz w:val="24"/>
              </w:rPr>
              <w:t>分光光度计</w:t>
            </w:r>
          </w:p>
        </w:tc>
        <w:tc>
          <w:tcPr>
            <w:tcW w:w="801"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3" w:type="dxa"/>
            <w:gridSpan w:val="2"/>
            <w:noWrap w:val="0"/>
            <w:vAlign w:val="center"/>
          </w:tcPr>
          <w:p>
            <w:pPr>
              <w:spacing w:line="380" w:lineRule="exact"/>
              <w:jc w:val="center"/>
              <w:rPr>
                <w:rFonts w:ascii="宋体"/>
                <w:b/>
                <w:sz w:val="24"/>
              </w:rPr>
            </w:pPr>
            <w:r>
              <w:rPr>
                <w:rFonts w:hint="eastAsia" w:ascii="宋体" w:hAnsi="宋体"/>
                <w:b/>
                <w:sz w:val="24"/>
              </w:rPr>
              <w:t>污染物排放方式</w:t>
            </w:r>
          </w:p>
          <w:p>
            <w:pPr>
              <w:spacing w:line="380" w:lineRule="exact"/>
              <w:jc w:val="center"/>
              <w:rPr>
                <w:rFonts w:ascii="宋体"/>
                <w:sz w:val="24"/>
              </w:rPr>
            </w:pPr>
            <w:r>
              <w:rPr>
                <w:rFonts w:hint="eastAsia" w:ascii="宋体" w:hAnsi="宋体"/>
                <w:b/>
                <w:sz w:val="24"/>
              </w:rPr>
              <w:t>及排放去向</w:t>
            </w:r>
          </w:p>
        </w:tc>
        <w:tc>
          <w:tcPr>
            <w:tcW w:w="11612" w:type="dxa"/>
            <w:gridSpan w:val="7"/>
            <w:noWrap w:val="0"/>
            <w:vAlign w:val="center"/>
          </w:tcPr>
          <w:p>
            <w:pPr>
              <w:spacing w:before="62" w:beforeLines="20" w:after="62" w:afterLines="20"/>
              <w:jc w:val="center"/>
              <w:rPr>
                <w:rFonts w:ascii="宋体"/>
                <w:sz w:val="24"/>
              </w:rPr>
            </w:pPr>
            <w:r>
              <w:rPr>
                <w:rFonts w:hint="eastAsia" w:ascii="宋体" w:hAnsi="宋体"/>
                <w:sz w:val="24"/>
              </w:rPr>
              <w:t>采用直排方式，直接排入母猪河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3" w:type="dxa"/>
            <w:gridSpan w:val="2"/>
            <w:noWrap w:val="0"/>
            <w:vAlign w:val="center"/>
          </w:tcPr>
          <w:p>
            <w:pPr>
              <w:spacing w:line="380" w:lineRule="exact"/>
              <w:jc w:val="center"/>
              <w:rPr>
                <w:rFonts w:ascii="宋体"/>
                <w:sz w:val="24"/>
              </w:rPr>
            </w:pPr>
            <w:r>
              <w:rPr>
                <w:rFonts w:hint="eastAsia" w:ascii="宋体" w:hAnsi="宋体"/>
                <w:b/>
                <w:sz w:val="24"/>
              </w:rPr>
              <w:t>监测质量控制措施</w:t>
            </w:r>
          </w:p>
        </w:tc>
        <w:tc>
          <w:tcPr>
            <w:tcW w:w="11612" w:type="dxa"/>
            <w:gridSpan w:val="7"/>
            <w:noWrap w:val="0"/>
            <w:vAlign w:val="center"/>
          </w:tcPr>
          <w:p>
            <w:pPr>
              <w:ind w:left="150"/>
              <w:jc w:val="left"/>
              <w:rPr>
                <w:rFonts w:ascii="宋体"/>
                <w:sz w:val="28"/>
                <w:szCs w:val="28"/>
              </w:rPr>
            </w:pPr>
            <w:r>
              <w:rPr>
                <w:rFonts w:hint="eastAsia" w:ascii="宋体" w:hAnsi="宋体"/>
                <w:sz w:val="24"/>
              </w:rPr>
              <w:t>（</w:t>
            </w:r>
            <w:r>
              <w:rPr>
                <w:rFonts w:ascii="宋体" w:hAnsi="宋体"/>
                <w:sz w:val="24"/>
              </w:rPr>
              <w:t>1</w:t>
            </w:r>
            <w:r>
              <w:rPr>
                <w:rFonts w:hint="eastAsia" w:ascii="宋体" w:hAnsi="宋体"/>
                <w:sz w:val="24"/>
              </w:rPr>
              <w:t>）采用平行样、加标样、加标回收等质控措施</w:t>
            </w:r>
            <w:r>
              <w:rPr>
                <w:rFonts w:ascii="宋体" w:hAnsi="宋体"/>
                <w:sz w:val="24"/>
              </w:rPr>
              <w:t xml:space="preserve"> </w:t>
            </w:r>
            <w:r>
              <w:rPr>
                <w:rFonts w:hint="eastAsia" w:ascii="宋体" w:hAnsi="宋体"/>
                <w:sz w:val="24"/>
              </w:rPr>
              <w:t>。（</w:t>
            </w:r>
            <w:r>
              <w:rPr>
                <w:rFonts w:ascii="宋体" w:hAnsi="宋体"/>
                <w:sz w:val="24"/>
              </w:rPr>
              <w:t>2</w:t>
            </w:r>
            <w:r>
              <w:rPr>
                <w:rFonts w:hint="eastAsia" w:ascii="宋体" w:hAnsi="宋体"/>
                <w:sz w:val="24"/>
              </w:rPr>
              <w:t>）仪器定期</w:t>
            </w:r>
            <w:r>
              <w:rPr>
                <w:rFonts w:hint="eastAsia" w:ascii="宋体" w:hAnsi="宋体"/>
                <w:sz w:val="24"/>
                <w:lang w:eastAsia="zh-CN"/>
              </w:rPr>
              <w:t>校核</w:t>
            </w:r>
            <w:r>
              <w:rPr>
                <w:rFonts w:hint="eastAsia" w:ascii="宋体" w:hAnsi="宋体"/>
                <w:sz w:val="24"/>
              </w:rPr>
              <w:t>。（</w:t>
            </w:r>
            <w:r>
              <w:rPr>
                <w:rFonts w:ascii="宋体" w:hAnsi="宋体"/>
                <w:sz w:val="24"/>
              </w:rPr>
              <w:t>3</w:t>
            </w:r>
            <w:r>
              <w:rPr>
                <w:rFonts w:hint="eastAsia" w:ascii="宋体" w:hAnsi="宋体"/>
                <w:sz w:val="24"/>
              </w:rPr>
              <w:t>）每季度</w:t>
            </w:r>
            <w:r>
              <w:rPr>
                <w:rFonts w:hint="eastAsia" w:ascii="宋体" w:hAnsi="宋体"/>
                <w:sz w:val="24"/>
                <w:lang w:eastAsia="zh-CN"/>
              </w:rPr>
              <w:t>由</w:t>
            </w:r>
            <w:r>
              <w:rPr>
                <w:rFonts w:hint="eastAsia" w:ascii="宋体" w:hAnsi="宋体"/>
                <w:sz w:val="24"/>
              </w:rPr>
              <w:t>威海市环境保护监测站进行在线监测比对。（4）威海新玉环境工程有限公司技术人员每周对在线自动监测仪器进行维护保养。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3" w:type="dxa"/>
            <w:gridSpan w:val="2"/>
            <w:noWrap w:val="0"/>
            <w:vAlign w:val="center"/>
          </w:tcPr>
          <w:p>
            <w:pPr>
              <w:spacing w:line="380" w:lineRule="exact"/>
              <w:jc w:val="center"/>
              <w:rPr>
                <w:rFonts w:ascii="宋体"/>
                <w:b/>
                <w:sz w:val="24"/>
              </w:rPr>
            </w:pPr>
            <w:r>
              <w:rPr>
                <w:rFonts w:hint="eastAsia" w:ascii="宋体" w:hAnsi="宋体"/>
                <w:b/>
                <w:sz w:val="24"/>
              </w:rPr>
              <w:t>监测结果</w:t>
            </w:r>
          </w:p>
          <w:p>
            <w:pPr>
              <w:spacing w:line="380" w:lineRule="exact"/>
              <w:jc w:val="center"/>
              <w:rPr>
                <w:rFonts w:ascii="宋体"/>
                <w:sz w:val="24"/>
              </w:rPr>
            </w:pPr>
            <w:r>
              <w:rPr>
                <w:rFonts w:hint="eastAsia" w:ascii="宋体" w:hAnsi="宋体"/>
                <w:b/>
                <w:sz w:val="24"/>
              </w:rPr>
              <w:t>公开时限</w:t>
            </w:r>
          </w:p>
        </w:tc>
        <w:tc>
          <w:tcPr>
            <w:tcW w:w="11612" w:type="dxa"/>
            <w:gridSpan w:val="7"/>
            <w:noWrap w:val="0"/>
            <w:vAlign w:val="center"/>
          </w:tcPr>
          <w:p>
            <w:pPr>
              <w:spacing w:before="62" w:beforeLines="20" w:after="62" w:afterLines="20"/>
              <w:jc w:val="center"/>
              <w:rPr>
                <w:rFonts w:ascii="宋体"/>
                <w:sz w:val="24"/>
              </w:rPr>
            </w:pPr>
            <w:r>
              <w:rPr>
                <w:rFonts w:hint="eastAsia" w:ascii="宋体" w:hAnsi="宋体"/>
                <w:sz w:val="24"/>
              </w:rPr>
              <w:t>自动监测结果实时公开，手工监测在监测完成后的次日于威海市环保局门户网站上公布。</w:t>
            </w:r>
          </w:p>
        </w:tc>
      </w:tr>
    </w:tbl>
    <w:p>
      <w:pPr>
        <w:spacing w:line="380" w:lineRule="exact"/>
        <w:rPr>
          <w:rFonts w:ascii="黑体" w:hAnsi="黑体" w:eastAsia="黑体"/>
          <w:b/>
          <w:sz w:val="32"/>
          <w:szCs w:val="32"/>
        </w:rPr>
      </w:pPr>
    </w:p>
    <w:p>
      <w:pPr>
        <w:spacing w:line="380" w:lineRule="exact"/>
        <w:rPr>
          <w:rFonts w:ascii="黑体" w:hAnsi="黑体" w:eastAsia="黑体"/>
          <w:b/>
          <w:sz w:val="32"/>
          <w:szCs w:val="32"/>
        </w:rPr>
      </w:pPr>
    </w:p>
    <w:p>
      <w:pPr>
        <w:spacing w:line="380" w:lineRule="exact"/>
        <w:jc w:val="center"/>
        <w:rPr>
          <w:rFonts w:ascii="黑体" w:hAnsi="黑体" w:eastAsia="黑体"/>
          <w:b/>
          <w:sz w:val="32"/>
          <w:szCs w:val="32"/>
        </w:rPr>
      </w:pPr>
      <w:r>
        <w:rPr>
          <w:rFonts w:hint="eastAsia" w:ascii="黑体" w:hAnsi="黑体" w:eastAsia="黑体"/>
          <w:b/>
          <w:sz w:val="32"/>
          <w:szCs w:val="32"/>
        </w:rPr>
        <w:t>废气无组织自行监测内容表</w:t>
      </w:r>
    </w:p>
    <w:p>
      <w:pPr>
        <w:spacing w:line="380" w:lineRule="exact"/>
        <w:jc w:val="center"/>
        <w:rPr>
          <w:rFonts w:ascii="黑体" w:hAnsi="黑体" w:eastAsia="黑体"/>
          <w:b/>
          <w:sz w:val="32"/>
          <w:szCs w:val="32"/>
        </w:rPr>
      </w:pPr>
    </w:p>
    <w:tbl>
      <w:tblPr>
        <w:tblStyle w:val="10"/>
        <w:tblW w:w="13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322"/>
        <w:gridCol w:w="1259"/>
        <w:gridCol w:w="1259"/>
        <w:gridCol w:w="3360"/>
        <w:gridCol w:w="1366"/>
        <w:gridCol w:w="1679"/>
        <w:gridCol w:w="19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4" w:type="dxa"/>
            <w:gridSpan w:val="2"/>
            <w:tcBorders>
              <w:top w:val="single" w:color="auto" w:sz="12" w:space="0"/>
              <w:bottom w:val="single" w:color="auto" w:sz="12" w:space="0"/>
              <w:tl2br w:val="single" w:color="auto" w:sz="4" w:space="0"/>
            </w:tcBorders>
            <w:noWrap w:val="0"/>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259" w:type="dxa"/>
            <w:tcBorders>
              <w:top w:val="single" w:color="auto" w:sz="12" w:space="0"/>
              <w:bottom w:val="single" w:color="auto" w:sz="12" w:space="0"/>
            </w:tcBorders>
            <w:noWrap w:val="0"/>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259" w:type="dxa"/>
            <w:tcBorders>
              <w:top w:val="single" w:color="auto" w:sz="12" w:space="0"/>
              <w:bottom w:val="single" w:color="auto" w:sz="12" w:space="0"/>
            </w:tcBorders>
            <w:noWrap w:val="0"/>
            <w:vAlign w:val="center"/>
          </w:tcPr>
          <w:p>
            <w:pPr>
              <w:spacing w:line="320" w:lineRule="exact"/>
              <w:jc w:val="center"/>
              <w:rPr>
                <w:rFonts w:ascii="黑体" w:hAnsi="黑体" w:eastAsia="黑体"/>
                <w:b/>
                <w:sz w:val="24"/>
              </w:rPr>
            </w:pPr>
            <w:r>
              <w:rPr>
                <w:rFonts w:hint="eastAsia" w:ascii="黑体" w:hAnsi="黑体" w:eastAsia="黑体"/>
                <w:b/>
                <w:sz w:val="24"/>
              </w:rPr>
              <w:t>监测频次</w:t>
            </w:r>
          </w:p>
        </w:tc>
        <w:tc>
          <w:tcPr>
            <w:tcW w:w="3360" w:type="dxa"/>
            <w:tcBorders>
              <w:top w:val="single" w:color="auto" w:sz="12" w:space="0"/>
              <w:bottom w:val="single" w:color="auto" w:sz="12" w:space="0"/>
            </w:tcBorders>
            <w:noWrap w:val="0"/>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366"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1679"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994"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694"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restart"/>
            <w:tcBorders>
              <w:top w:val="single" w:color="auto" w:sz="12" w:space="0"/>
            </w:tcBorders>
            <w:noWrap w:val="0"/>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322" w:type="dxa"/>
            <w:tcBorders>
              <w:top w:val="single" w:color="auto" w:sz="12" w:space="0"/>
            </w:tcBorders>
            <w:noWrap w:val="0"/>
            <w:vAlign w:val="center"/>
          </w:tcPr>
          <w:p>
            <w:pPr>
              <w:spacing w:line="320" w:lineRule="exact"/>
              <w:jc w:val="center"/>
              <w:rPr>
                <w:rFonts w:ascii="宋体"/>
                <w:sz w:val="24"/>
              </w:rPr>
            </w:pPr>
            <w:r>
              <w:rPr>
                <w:rFonts w:ascii="宋体" w:hAnsi="宋体"/>
                <w:sz w:val="24"/>
              </w:rPr>
              <w:t>NH</w:t>
            </w:r>
            <w:r>
              <w:rPr>
                <w:rFonts w:ascii="宋体" w:hAnsi="宋体"/>
                <w:sz w:val="24"/>
                <w:vertAlign w:val="subscript"/>
              </w:rPr>
              <w:t>3</w:t>
            </w:r>
          </w:p>
        </w:tc>
        <w:tc>
          <w:tcPr>
            <w:tcW w:w="1259" w:type="dxa"/>
            <w:noWrap w:val="0"/>
            <w:vAlign w:val="center"/>
          </w:tcPr>
          <w:p>
            <w:pPr>
              <w:spacing w:line="320" w:lineRule="exact"/>
              <w:jc w:val="center"/>
              <w:rPr>
                <w:rFonts w:hint="eastAsia" w:ascii="宋体"/>
                <w:sz w:val="24"/>
              </w:rPr>
            </w:pPr>
            <w:r>
              <w:rPr>
                <w:rFonts w:hint="eastAsia" w:ascii="宋体" w:hAnsi="宋体"/>
                <w:sz w:val="24"/>
              </w:rPr>
              <w:t>厂界浓度最高点</w:t>
            </w:r>
          </w:p>
        </w:tc>
        <w:tc>
          <w:tcPr>
            <w:tcW w:w="1259" w:type="dxa"/>
            <w:noWrap w:val="0"/>
            <w:vAlign w:val="center"/>
          </w:tcPr>
          <w:p>
            <w:pPr>
              <w:spacing w:line="320" w:lineRule="exact"/>
              <w:rPr>
                <w:rFonts w:ascii="宋体"/>
                <w:sz w:val="24"/>
              </w:rPr>
            </w:pPr>
            <w:r>
              <w:rPr>
                <w:rFonts w:hint="eastAsia" w:ascii="宋体" w:hAnsi="宋体"/>
                <w:sz w:val="24"/>
              </w:rPr>
              <w:t>季度/次</w:t>
            </w:r>
          </w:p>
        </w:tc>
        <w:tc>
          <w:tcPr>
            <w:tcW w:w="3360" w:type="dxa"/>
            <w:noWrap w:val="0"/>
            <w:vAlign w:val="center"/>
          </w:tcPr>
          <w:p>
            <w:pPr>
              <w:spacing w:line="320" w:lineRule="exact"/>
              <w:jc w:val="center"/>
              <w:rPr>
                <w:rFonts w:ascii="宋体"/>
                <w:sz w:val="24"/>
              </w:rPr>
            </w:pPr>
            <w:r>
              <w:rPr>
                <w:rFonts w:hint="eastAsia" w:ascii="宋体" w:hAnsi="宋体"/>
                <w:sz w:val="24"/>
              </w:rPr>
              <w:t>《城镇污水处理厂污染物排放标准》</w:t>
            </w:r>
            <w:r>
              <w:rPr>
                <w:rFonts w:ascii="宋体" w:hAnsi="宋体"/>
                <w:sz w:val="24"/>
              </w:rPr>
              <w:t>GB18918-2002</w:t>
            </w:r>
          </w:p>
        </w:tc>
        <w:tc>
          <w:tcPr>
            <w:tcW w:w="1366" w:type="dxa"/>
            <w:noWrap w:val="0"/>
            <w:vAlign w:val="center"/>
          </w:tcPr>
          <w:p>
            <w:pPr>
              <w:spacing w:line="320" w:lineRule="exact"/>
              <w:jc w:val="center"/>
              <w:rPr>
                <w:rFonts w:ascii="宋体"/>
                <w:sz w:val="24"/>
              </w:rPr>
            </w:pPr>
            <w:r>
              <w:rPr>
                <w:rFonts w:ascii="宋体" w:hAnsi="宋体"/>
                <w:sz w:val="24"/>
              </w:rPr>
              <w:t>1.5mg/m</w:t>
            </w:r>
            <w:r>
              <w:rPr>
                <w:rFonts w:ascii="宋体" w:hAnsi="宋体"/>
                <w:sz w:val="24"/>
                <w:vertAlign w:val="superscript"/>
              </w:rPr>
              <w:t>3</w:t>
            </w:r>
          </w:p>
        </w:tc>
        <w:tc>
          <w:tcPr>
            <w:tcW w:w="1679" w:type="dxa"/>
            <w:noWrap w:val="0"/>
            <w:vAlign w:val="center"/>
          </w:tcPr>
          <w:p>
            <w:pPr>
              <w:spacing w:line="320" w:lineRule="exact"/>
              <w:jc w:val="center"/>
              <w:rPr>
                <w:rFonts w:ascii="宋体"/>
                <w:sz w:val="24"/>
              </w:rPr>
            </w:pPr>
            <w:r>
              <w:rPr>
                <w:rFonts w:hint="eastAsia" w:ascii="宋体" w:hAnsi="宋体"/>
                <w:sz w:val="24"/>
              </w:rPr>
              <w:t>纳氏试剂分光光度法</w:t>
            </w:r>
          </w:p>
        </w:tc>
        <w:tc>
          <w:tcPr>
            <w:tcW w:w="1994" w:type="dxa"/>
            <w:noWrap w:val="0"/>
            <w:vAlign w:val="center"/>
          </w:tcPr>
          <w:p>
            <w:pPr>
              <w:spacing w:line="320" w:lineRule="exact"/>
              <w:jc w:val="center"/>
              <w:rPr>
                <w:rFonts w:ascii="宋体"/>
                <w:sz w:val="24"/>
              </w:rPr>
            </w:pPr>
            <w:r>
              <w:rPr>
                <w:rFonts w:hint="eastAsia" w:ascii="宋体" w:hAnsi="宋体"/>
                <w:sz w:val="24"/>
              </w:rPr>
              <w:t>分光光度计</w:t>
            </w:r>
          </w:p>
        </w:tc>
        <w:tc>
          <w:tcPr>
            <w:tcW w:w="694"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noWrap w:val="0"/>
            <w:vAlign w:val="center"/>
          </w:tcPr>
          <w:p>
            <w:pPr>
              <w:spacing w:line="320" w:lineRule="exact"/>
              <w:jc w:val="center"/>
              <w:rPr>
                <w:sz w:val="24"/>
              </w:rPr>
            </w:pPr>
          </w:p>
        </w:tc>
        <w:tc>
          <w:tcPr>
            <w:tcW w:w="1322" w:type="dxa"/>
            <w:noWrap w:val="0"/>
            <w:vAlign w:val="center"/>
          </w:tcPr>
          <w:p>
            <w:pPr>
              <w:spacing w:line="320" w:lineRule="exact"/>
              <w:jc w:val="center"/>
              <w:rPr>
                <w:rFonts w:ascii="宋体" w:hAnsi="宋体"/>
                <w:sz w:val="24"/>
              </w:rPr>
            </w:pPr>
            <w:r>
              <w:rPr>
                <w:rFonts w:ascii="宋体" w:hAnsi="宋体"/>
                <w:sz w:val="24"/>
              </w:rPr>
              <w:t>H</w:t>
            </w:r>
            <w:r>
              <w:rPr>
                <w:rFonts w:ascii="宋体" w:hAnsi="宋体"/>
                <w:sz w:val="24"/>
                <w:vertAlign w:val="subscript"/>
              </w:rPr>
              <w:t>2</w:t>
            </w:r>
            <w:r>
              <w:rPr>
                <w:rFonts w:ascii="宋体" w:hAnsi="宋体"/>
                <w:sz w:val="24"/>
              </w:rPr>
              <w:t>S</w:t>
            </w:r>
          </w:p>
        </w:tc>
        <w:tc>
          <w:tcPr>
            <w:tcW w:w="1259" w:type="dxa"/>
            <w:noWrap w:val="0"/>
            <w:vAlign w:val="center"/>
          </w:tcPr>
          <w:p>
            <w:pPr>
              <w:spacing w:line="320" w:lineRule="exact"/>
              <w:jc w:val="center"/>
              <w:rPr>
                <w:rFonts w:ascii="宋体"/>
                <w:sz w:val="24"/>
              </w:rPr>
            </w:pPr>
            <w:r>
              <w:rPr>
                <w:rFonts w:hint="eastAsia" w:ascii="宋体" w:hAnsi="宋体"/>
                <w:sz w:val="24"/>
              </w:rPr>
              <w:t>厂界浓度最高点</w:t>
            </w:r>
          </w:p>
        </w:tc>
        <w:tc>
          <w:tcPr>
            <w:tcW w:w="1259" w:type="dxa"/>
            <w:noWrap w:val="0"/>
            <w:vAlign w:val="center"/>
          </w:tcPr>
          <w:p>
            <w:pPr>
              <w:spacing w:line="320" w:lineRule="exact"/>
              <w:rPr>
                <w:rFonts w:ascii="宋体"/>
                <w:sz w:val="24"/>
              </w:rPr>
            </w:pPr>
            <w:r>
              <w:rPr>
                <w:rFonts w:hint="eastAsia" w:ascii="宋体" w:hAnsi="宋体"/>
                <w:sz w:val="24"/>
              </w:rPr>
              <w:t>季度/次</w:t>
            </w:r>
          </w:p>
        </w:tc>
        <w:tc>
          <w:tcPr>
            <w:tcW w:w="3360" w:type="dxa"/>
            <w:noWrap w:val="0"/>
            <w:vAlign w:val="center"/>
          </w:tcPr>
          <w:p>
            <w:pPr>
              <w:spacing w:line="320" w:lineRule="exact"/>
              <w:jc w:val="center"/>
              <w:rPr>
                <w:rFonts w:ascii="宋体" w:hAnsi="宋体"/>
                <w:sz w:val="24"/>
              </w:rPr>
            </w:pPr>
            <w:r>
              <w:rPr>
                <w:rFonts w:hint="eastAsia" w:ascii="宋体" w:hAnsi="宋体"/>
                <w:sz w:val="24"/>
              </w:rPr>
              <w:t>《城镇污水处理厂污染物排放标准》</w:t>
            </w:r>
            <w:r>
              <w:rPr>
                <w:rFonts w:ascii="宋体" w:hAnsi="宋体"/>
                <w:sz w:val="24"/>
              </w:rPr>
              <w:t>GB18918-2002</w:t>
            </w:r>
          </w:p>
        </w:tc>
        <w:tc>
          <w:tcPr>
            <w:tcW w:w="1366" w:type="dxa"/>
            <w:noWrap w:val="0"/>
            <w:vAlign w:val="center"/>
          </w:tcPr>
          <w:p>
            <w:pPr>
              <w:spacing w:line="320" w:lineRule="exact"/>
              <w:jc w:val="center"/>
              <w:rPr>
                <w:rFonts w:ascii="宋体"/>
                <w:sz w:val="24"/>
              </w:rPr>
            </w:pPr>
            <w:r>
              <w:rPr>
                <w:rFonts w:ascii="宋体" w:hAnsi="宋体"/>
                <w:sz w:val="24"/>
              </w:rPr>
              <w:t>0.06 mg/m</w:t>
            </w:r>
            <w:r>
              <w:rPr>
                <w:rFonts w:ascii="宋体" w:hAnsi="宋体"/>
                <w:sz w:val="24"/>
                <w:vertAlign w:val="superscript"/>
              </w:rPr>
              <w:t>3</w:t>
            </w:r>
          </w:p>
        </w:tc>
        <w:tc>
          <w:tcPr>
            <w:tcW w:w="1679" w:type="dxa"/>
            <w:noWrap w:val="0"/>
            <w:vAlign w:val="center"/>
          </w:tcPr>
          <w:p>
            <w:pPr>
              <w:spacing w:line="320" w:lineRule="exact"/>
              <w:jc w:val="center"/>
              <w:rPr>
                <w:rFonts w:ascii="宋体"/>
                <w:sz w:val="24"/>
              </w:rPr>
            </w:pPr>
            <w:r>
              <w:rPr>
                <w:rFonts w:hint="eastAsia" w:ascii="宋体" w:hAnsi="宋体"/>
                <w:sz w:val="24"/>
              </w:rPr>
              <w:t>定电位电解式电极法</w:t>
            </w:r>
          </w:p>
        </w:tc>
        <w:tc>
          <w:tcPr>
            <w:tcW w:w="1994" w:type="dxa"/>
            <w:noWrap w:val="0"/>
            <w:vAlign w:val="center"/>
          </w:tcPr>
          <w:p>
            <w:pPr>
              <w:spacing w:line="320" w:lineRule="exact"/>
              <w:jc w:val="center"/>
              <w:rPr>
                <w:rFonts w:ascii="宋体"/>
                <w:sz w:val="24"/>
              </w:rPr>
            </w:pPr>
            <w:r>
              <w:rPr>
                <w:rFonts w:hint="eastAsia" w:ascii="宋体" w:hAnsi="宋体"/>
                <w:sz w:val="24"/>
              </w:rPr>
              <w:t>携带用吸引式复合型气体检测器</w:t>
            </w:r>
          </w:p>
        </w:tc>
        <w:tc>
          <w:tcPr>
            <w:tcW w:w="694"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noWrap w:val="0"/>
            <w:vAlign w:val="center"/>
          </w:tcPr>
          <w:p>
            <w:pPr>
              <w:spacing w:line="320" w:lineRule="exact"/>
              <w:jc w:val="center"/>
              <w:rPr>
                <w:sz w:val="24"/>
              </w:rPr>
            </w:pPr>
          </w:p>
        </w:tc>
        <w:tc>
          <w:tcPr>
            <w:tcW w:w="1322" w:type="dxa"/>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3360" w:type="dxa"/>
            <w:noWrap w:val="0"/>
            <w:vAlign w:val="center"/>
          </w:tcPr>
          <w:p>
            <w:pPr>
              <w:spacing w:line="320" w:lineRule="exact"/>
              <w:jc w:val="center"/>
              <w:rPr>
                <w:sz w:val="24"/>
              </w:rPr>
            </w:pPr>
          </w:p>
        </w:tc>
        <w:tc>
          <w:tcPr>
            <w:tcW w:w="1366" w:type="dxa"/>
            <w:noWrap w:val="0"/>
            <w:vAlign w:val="center"/>
          </w:tcPr>
          <w:p>
            <w:pPr>
              <w:spacing w:line="320" w:lineRule="exact"/>
              <w:jc w:val="center"/>
              <w:rPr>
                <w:sz w:val="24"/>
              </w:rPr>
            </w:pPr>
          </w:p>
        </w:tc>
        <w:tc>
          <w:tcPr>
            <w:tcW w:w="1679" w:type="dxa"/>
            <w:noWrap w:val="0"/>
            <w:vAlign w:val="top"/>
          </w:tcPr>
          <w:p>
            <w:pPr>
              <w:spacing w:line="320" w:lineRule="exact"/>
              <w:jc w:val="center"/>
              <w:rPr>
                <w:sz w:val="24"/>
              </w:rPr>
            </w:pPr>
          </w:p>
        </w:tc>
        <w:tc>
          <w:tcPr>
            <w:tcW w:w="1994" w:type="dxa"/>
            <w:noWrap w:val="0"/>
            <w:vAlign w:val="center"/>
          </w:tcPr>
          <w:p>
            <w:pPr>
              <w:spacing w:line="320" w:lineRule="exact"/>
              <w:jc w:val="center"/>
              <w:rPr>
                <w:sz w:val="24"/>
              </w:rPr>
            </w:pPr>
          </w:p>
        </w:tc>
        <w:tc>
          <w:tcPr>
            <w:tcW w:w="694"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noWrap w:val="0"/>
            <w:vAlign w:val="center"/>
          </w:tcPr>
          <w:p>
            <w:pPr>
              <w:spacing w:line="320" w:lineRule="exact"/>
              <w:jc w:val="center"/>
              <w:rPr>
                <w:sz w:val="24"/>
              </w:rPr>
            </w:pPr>
          </w:p>
        </w:tc>
        <w:tc>
          <w:tcPr>
            <w:tcW w:w="1322" w:type="dxa"/>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3360" w:type="dxa"/>
            <w:noWrap w:val="0"/>
            <w:vAlign w:val="center"/>
          </w:tcPr>
          <w:p>
            <w:pPr>
              <w:spacing w:line="320" w:lineRule="exact"/>
              <w:jc w:val="center"/>
              <w:rPr>
                <w:sz w:val="24"/>
              </w:rPr>
            </w:pPr>
          </w:p>
        </w:tc>
        <w:tc>
          <w:tcPr>
            <w:tcW w:w="1366" w:type="dxa"/>
            <w:noWrap w:val="0"/>
            <w:vAlign w:val="center"/>
          </w:tcPr>
          <w:p>
            <w:pPr>
              <w:spacing w:line="320" w:lineRule="exact"/>
              <w:jc w:val="center"/>
              <w:rPr>
                <w:sz w:val="24"/>
              </w:rPr>
            </w:pPr>
          </w:p>
        </w:tc>
        <w:tc>
          <w:tcPr>
            <w:tcW w:w="1679" w:type="dxa"/>
            <w:noWrap w:val="0"/>
            <w:vAlign w:val="top"/>
          </w:tcPr>
          <w:p>
            <w:pPr>
              <w:spacing w:line="320" w:lineRule="exact"/>
              <w:jc w:val="center"/>
              <w:rPr>
                <w:sz w:val="24"/>
              </w:rPr>
            </w:pPr>
          </w:p>
        </w:tc>
        <w:tc>
          <w:tcPr>
            <w:tcW w:w="1994" w:type="dxa"/>
            <w:noWrap w:val="0"/>
            <w:vAlign w:val="center"/>
          </w:tcPr>
          <w:p>
            <w:pPr>
              <w:spacing w:line="320" w:lineRule="exact"/>
              <w:jc w:val="center"/>
              <w:rPr>
                <w:sz w:val="24"/>
              </w:rPr>
            </w:pPr>
          </w:p>
        </w:tc>
        <w:tc>
          <w:tcPr>
            <w:tcW w:w="694"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noWrap w:val="0"/>
            <w:vAlign w:val="center"/>
          </w:tcPr>
          <w:p>
            <w:pPr>
              <w:spacing w:line="320" w:lineRule="exact"/>
              <w:jc w:val="center"/>
              <w:rPr>
                <w:sz w:val="24"/>
              </w:rPr>
            </w:pPr>
          </w:p>
        </w:tc>
        <w:tc>
          <w:tcPr>
            <w:tcW w:w="1322" w:type="dxa"/>
            <w:tcBorders>
              <w:left w:val="nil"/>
            </w:tcBorders>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3360" w:type="dxa"/>
            <w:noWrap w:val="0"/>
            <w:vAlign w:val="center"/>
          </w:tcPr>
          <w:p>
            <w:pPr>
              <w:spacing w:line="320" w:lineRule="exact"/>
              <w:jc w:val="center"/>
              <w:rPr>
                <w:sz w:val="24"/>
              </w:rPr>
            </w:pPr>
          </w:p>
        </w:tc>
        <w:tc>
          <w:tcPr>
            <w:tcW w:w="1366" w:type="dxa"/>
            <w:noWrap w:val="0"/>
            <w:vAlign w:val="center"/>
          </w:tcPr>
          <w:p>
            <w:pPr>
              <w:spacing w:line="320" w:lineRule="exact"/>
              <w:jc w:val="center"/>
              <w:rPr>
                <w:sz w:val="24"/>
              </w:rPr>
            </w:pPr>
          </w:p>
        </w:tc>
        <w:tc>
          <w:tcPr>
            <w:tcW w:w="1679" w:type="dxa"/>
            <w:noWrap w:val="0"/>
            <w:vAlign w:val="top"/>
          </w:tcPr>
          <w:p>
            <w:pPr>
              <w:spacing w:line="320" w:lineRule="exact"/>
              <w:jc w:val="center"/>
              <w:rPr>
                <w:sz w:val="24"/>
              </w:rPr>
            </w:pPr>
          </w:p>
        </w:tc>
        <w:tc>
          <w:tcPr>
            <w:tcW w:w="1994" w:type="dxa"/>
            <w:noWrap w:val="0"/>
            <w:vAlign w:val="center"/>
          </w:tcPr>
          <w:p>
            <w:pPr>
              <w:spacing w:line="320" w:lineRule="exact"/>
              <w:jc w:val="center"/>
              <w:rPr>
                <w:sz w:val="24"/>
              </w:rPr>
            </w:pPr>
          </w:p>
        </w:tc>
        <w:tc>
          <w:tcPr>
            <w:tcW w:w="694"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noWrap w:val="0"/>
            <w:vAlign w:val="center"/>
          </w:tcPr>
          <w:p>
            <w:pPr>
              <w:spacing w:line="320" w:lineRule="exact"/>
              <w:jc w:val="center"/>
              <w:rPr>
                <w:sz w:val="24"/>
              </w:rPr>
            </w:pPr>
          </w:p>
        </w:tc>
        <w:tc>
          <w:tcPr>
            <w:tcW w:w="1322" w:type="dxa"/>
            <w:tcBorders>
              <w:left w:val="nil"/>
            </w:tcBorders>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3360" w:type="dxa"/>
            <w:noWrap w:val="0"/>
            <w:vAlign w:val="center"/>
          </w:tcPr>
          <w:p>
            <w:pPr>
              <w:spacing w:line="320" w:lineRule="exact"/>
              <w:jc w:val="center"/>
              <w:rPr>
                <w:sz w:val="24"/>
              </w:rPr>
            </w:pPr>
          </w:p>
        </w:tc>
        <w:tc>
          <w:tcPr>
            <w:tcW w:w="1366" w:type="dxa"/>
            <w:noWrap w:val="0"/>
            <w:vAlign w:val="center"/>
          </w:tcPr>
          <w:p>
            <w:pPr>
              <w:spacing w:line="320" w:lineRule="exact"/>
              <w:jc w:val="center"/>
              <w:rPr>
                <w:sz w:val="24"/>
              </w:rPr>
            </w:pPr>
          </w:p>
        </w:tc>
        <w:tc>
          <w:tcPr>
            <w:tcW w:w="1679" w:type="dxa"/>
            <w:noWrap w:val="0"/>
            <w:vAlign w:val="top"/>
          </w:tcPr>
          <w:p>
            <w:pPr>
              <w:spacing w:line="320" w:lineRule="exact"/>
              <w:jc w:val="center"/>
              <w:rPr>
                <w:sz w:val="24"/>
              </w:rPr>
            </w:pPr>
          </w:p>
        </w:tc>
        <w:tc>
          <w:tcPr>
            <w:tcW w:w="1994" w:type="dxa"/>
            <w:noWrap w:val="0"/>
            <w:vAlign w:val="center"/>
          </w:tcPr>
          <w:p>
            <w:pPr>
              <w:spacing w:line="320" w:lineRule="exact"/>
              <w:jc w:val="center"/>
              <w:rPr>
                <w:sz w:val="24"/>
              </w:rPr>
            </w:pPr>
          </w:p>
        </w:tc>
        <w:tc>
          <w:tcPr>
            <w:tcW w:w="694"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noWrap w:val="0"/>
            <w:vAlign w:val="center"/>
          </w:tcPr>
          <w:p>
            <w:pPr>
              <w:spacing w:line="320" w:lineRule="exact"/>
              <w:jc w:val="center"/>
              <w:rPr>
                <w:sz w:val="24"/>
              </w:rPr>
            </w:pPr>
          </w:p>
        </w:tc>
        <w:tc>
          <w:tcPr>
            <w:tcW w:w="1322" w:type="dxa"/>
            <w:tcBorders>
              <w:left w:val="nil"/>
            </w:tcBorders>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3360" w:type="dxa"/>
            <w:noWrap w:val="0"/>
            <w:vAlign w:val="center"/>
          </w:tcPr>
          <w:p>
            <w:pPr>
              <w:spacing w:line="320" w:lineRule="exact"/>
              <w:jc w:val="center"/>
              <w:rPr>
                <w:sz w:val="24"/>
              </w:rPr>
            </w:pPr>
          </w:p>
        </w:tc>
        <w:tc>
          <w:tcPr>
            <w:tcW w:w="1366" w:type="dxa"/>
            <w:noWrap w:val="0"/>
            <w:vAlign w:val="center"/>
          </w:tcPr>
          <w:p>
            <w:pPr>
              <w:spacing w:line="320" w:lineRule="exact"/>
              <w:jc w:val="center"/>
              <w:rPr>
                <w:sz w:val="24"/>
              </w:rPr>
            </w:pPr>
          </w:p>
        </w:tc>
        <w:tc>
          <w:tcPr>
            <w:tcW w:w="1679" w:type="dxa"/>
            <w:noWrap w:val="0"/>
            <w:vAlign w:val="top"/>
          </w:tcPr>
          <w:p>
            <w:pPr>
              <w:spacing w:line="320" w:lineRule="exact"/>
              <w:jc w:val="center"/>
              <w:rPr>
                <w:sz w:val="24"/>
              </w:rPr>
            </w:pPr>
          </w:p>
        </w:tc>
        <w:tc>
          <w:tcPr>
            <w:tcW w:w="1994" w:type="dxa"/>
            <w:noWrap w:val="0"/>
            <w:vAlign w:val="center"/>
          </w:tcPr>
          <w:p>
            <w:pPr>
              <w:spacing w:line="320" w:lineRule="exact"/>
              <w:jc w:val="center"/>
              <w:rPr>
                <w:sz w:val="24"/>
              </w:rPr>
            </w:pPr>
          </w:p>
        </w:tc>
        <w:tc>
          <w:tcPr>
            <w:tcW w:w="694"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noWrap w:val="0"/>
            <w:vAlign w:val="center"/>
          </w:tcPr>
          <w:p>
            <w:pPr>
              <w:spacing w:line="320" w:lineRule="exact"/>
              <w:jc w:val="center"/>
              <w:rPr>
                <w:sz w:val="24"/>
              </w:rPr>
            </w:pPr>
          </w:p>
        </w:tc>
        <w:tc>
          <w:tcPr>
            <w:tcW w:w="1322" w:type="dxa"/>
            <w:tcBorders>
              <w:left w:val="nil"/>
            </w:tcBorders>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3360" w:type="dxa"/>
            <w:noWrap w:val="0"/>
            <w:vAlign w:val="center"/>
          </w:tcPr>
          <w:p>
            <w:pPr>
              <w:spacing w:line="320" w:lineRule="exact"/>
              <w:jc w:val="center"/>
              <w:rPr>
                <w:sz w:val="24"/>
              </w:rPr>
            </w:pPr>
          </w:p>
        </w:tc>
        <w:tc>
          <w:tcPr>
            <w:tcW w:w="1366" w:type="dxa"/>
            <w:noWrap w:val="0"/>
            <w:vAlign w:val="center"/>
          </w:tcPr>
          <w:p>
            <w:pPr>
              <w:spacing w:line="320" w:lineRule="exact"/>
              <w:jc w:val="center"/>
              <w:rPr>
                <w:sz w:val="24"/>
              </w:rPr>
            </w:pPr>
          </w:p>
        </w:tc>
        <w:tc>
          <w:tcPr>
            <w:tcW w:w="1679" w:type="dxa"/>
            <w:noWrap w:val="0"/>
            <w:vAlign w:val="top"/>
          </w:tcPr>
          <w:p>
            <w:pPr>
              <w:spacing w:line="320" w:lineRule="exact"/>
              <w:jc w:val="center"/>
              <w:rPr>
                <w:sz w:val="24"/>
              </w:rPr>
            </w:pPr>
          </w:p>
        </w:tc>
        <w:tc>
          <w:tcPr>
            <w:tcW w:w="1994" w:type="dxa"/>
            <w:noWrap w:val="0"/>
            <w:vAlign w:val="center"/>
          </w:tcPr>
          <w:p>
            <w:pPr>
              <w:spacing w:line="320" w:lineRule="exact"/>
              <w:jc w:val="center"/>
              <w:rPr>
                <w:sz w:val="24"/>
              </w:rPr>
            </w:pPr>
          </w:p>
        </w:tc>
        <w:tc>
          <w:tcPr>
            <w:tcW w:w="694"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82" w:type="dxa"/>
            <w:vMerge w:val="continue"/>
            <w:noWrap w:val="0"/>
            <w:vAlign w:val="center"/>
          </w:tcPr>
          <w:p>
            <w:pPr>
              <w:spacing w:line="320" w:lineRule="exact"/>
              <w:jc w:val="center"/>
              <w:rPr>
                <w:sz w:val="24"/>
              </w:rPr>
            </w:pPr>
          </w:p>
        </w:tc>
        <w:tc>
          <w:tcPr>
            <w:tcW w:w="1322" w:type="dxa"/>
            <w:tcBorders>
              <w:left w:val="nil"/>
            </w:tcBorders>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1259" w:type="dxa"/>
            <w:noWrap w:val="0"/>
            <w:vAlign w:val="center"/>
          </w:tcPr>
          <w:p>
            <w:pPr>
              <w:spacing w:line="320" w:lineRule="exact"/>
              <w:jc w:val="center"/>
              <w:rPr>
                <w:sz w:val="24"/>
              </w:rPr>
            </w:pPr>
          </w:p>
        </w:tc>
        <w:tc>
          <w:tcPr>
            <w:tcW w:w="3360" w:type="dxa"/>
            <w:noWrap w:val="0"/>
            <w:vAlign w:val="center"/>
          </w:tcPr>
          <w:p>
            <w:pPr>
              <w:spacing w:line="320" w:lineRule="exact"/>
              <w:jc w:val="center"/>
              <w:rPr>
                <w:sz w:val="24"/>
              </w:rPr>
            </w:pPr>
          </w:p>
        </w:tc>
        <w:tc>
          <w:tcPr>
            <w:tcW w:w="1366" w:type="dxa"/>
            <w:noWrap w:val="0"/>
            <w:vAlign w:val="center"/>
          </w:tcPr>
          <w:p>
            <w:pPr>
              <w:spacing w:line="320" w:lineRule="exact"/>
              <w:jc w:val="center"/>
              <w:rPr>
                <w:sz w:val="24"/>
              </w:rPr>
            </w:pPr>
          </w:p>
        </w:tc>
        <w:tc>
          <w:tcPr>
            <w:tcW w:w="1679" w:type="dxa"/>
            <w:noWrap w:val="0"/>
            <w:vAlign w:val="top"/>
          </w:tcPr>
          <w:p>
            <w:pPr>
              <w:spacing w:line="320" w:lineRule="exact"/>
              <w:jc w:val="center"/>
              <w:rPr>
                <w:sz w:val="24"/>
              </w:rPr>
            </w:pPr>
          </w:p>
        </w:tc>
        <w:tc>
          <w:tcPr>
            <w:tcW w:w="1994" w:type="dxa"/>
            <w:noWrap w:val="0"/>
            <w:vAlign w:val="center"/>
          </w:tcPr>
          <w:p>
            <w:pPr>
              <w:spacing w:line="320" w:lineRule="exact"/>
              <w:jc w:val="center"/>
              <w:rPr>
                <w:sz w:val="24"/>
              </w:rPr>
            </w:pPr>
          </w:p>
        </w:tc>
        <w:tc>
          <w:tcPr>
            <w:tcW w:w="694"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04" w:type="dxa"/>
            <w:gridSpan w:val="2"/>
            <w:noWrap w:val="0"/>
            <w:vAlign w:val="center"/>
          </w:tcPr>
          <w:p>
            <w:pPr>
              <w:spacing w:line="380" w:lineRule="exact"/>
              <w:jc w:val="center"/>
              <w:rPr>
                <w:rFonts w:ascii="宋体"/>
                <w:b/>
                <w:sz w:val="24"/>
              </w:rPr>
            </w:pPr>
            <w:r>
              <w:rPr>
                <w:rFonts w:hint="eastAsia" w:ascii="宋体" w:hAnsi="宋体"/>
                <w:b/>
                <w:sz w:val="24"/>
              </w:rPr>
              <w:t>污染物排放方式</w:t>
            </w:r>
          </w:p>
          <w:p>
            <w:pPr>
              <w:spacing w:line="380" w:lineRule="exact"/>
              <w:jc w:val="center"/>
              <w:rPr>
                <w:rFonts w:ascii="宋体"/>
                <w:sz w:val="24"/>
              </w:rPr>
            </w:pPr>
            <w:r>
              <w:rPr>
                <w:rFonts w:hint="eastAsia" w:ascii="宋体" w:hAnsi="宋体"/>
                <w:b/>
                <w:sz w:val="24"/>
              </w:rPr>
              <w:t>及排放去向</w:t>
            </w:r>
          </w:p>
        </w:tc>
        <w:tc>
          <w:tcPr>
            <w:tcW w:w="11611" w:type="dxa"/>
            <w:gridSpan w:val="7"/>
            <w:noWrap w:val="0"/>
            <w:vAlign w:val="center"/>
          </w:tcPr>
          <w:p>
            <w:pPr>
              <w:spacing w:before="62" w:beforeLines="20" w:after="62" w:afterLines="20"/>
              <w:jc w:val="center"/>
              <w:rPr>
                <w:rFonts w:hint="eastAsia" w:ascii="宋体"/>
                <w:sz w:val="24"/>
              </w:rPr>
            </w:pPr>
            <w:r>
              <w:rPr>
                <w:rFonts w:hint="eastAsia" w:ascii="宋体"/>
                <w:sz w:val="24"/>
              </w:rPr>
              <w:t>直排大气环境。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trPr>
        <w:tc>
          <w:tcPr>
            <w:tcW w:w="2104" w:type="dxa"/>
            <w:gridSpan w:val="2"/>
            <w:noWrap w:val="0"/>
            <w:vAlign w:val="center"/>
          </w:tcPr>
          <w:p>
            <w:pPr>
              <w:spacing w:line="380" w:lineRule="exact"/>
              <w:jc w:val="center"/>
              <w:rPr>
                <w:rFonts w:ascii="宋体"/>
                <w:sz w:val="24"/>
              </w:rPr>
            </w:pPr>
            <w:r>
              <w:rPr>
                <w:rFonts w:hint="eastAsia" w:ascii="宋体" w:hAnsi="宋体"/>
                <w:b/>
                <w:sz w:val="24"/>
              </w:rPr>
              <w:t>监测质量控制措施</w:t>
            </w:r>
          </w:p>
        </w:tc>
        <w:tc>
          <w:tcPr>
            <w:tcW w:w="11611" w:type="dxa"/>
            <w:gridSpan w:val="7"/>
            <w:noWrap w:val="0"/>
            <w:vAlign w:val="center"/>
          </w:tcPr>
          <w:p>
            <w:pPr>
              <w:ind w:left="150"/>
              <w:jc w:val="center"/>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）采用平行样、中间浓度、标样等质控措施</w:t>
            </w:r>
            <w:r>
              <w:rPr>
                <w:rFonts w:ascii="宋体" w:hAnsi="宋体"/>
                <w:sz w:val="24"/>
              </w:rPr>
              <w:t xml:space="preserve"> </w:t>
            </w:r>
            <w:r>
              <w:rPr>
                <w:rFonts w:hint="eastAsia" w:ascii="宋体" w:hAnsi="宋体"/>
                <w:sz w:val="24"/>
              </w:rPr>
              <w:t>。（</w:t>
            </w:r>
            <w:r>
              <w:rPr>
                <w:rFonts w:ascii="宋体" w:hAnsi="宋体"/>
                <w:sz w:val="24"/>
              </w:rPr>
              <w:t>2</w:t>
            </w:r>
            <w:r>
              <w:rPr>
                <w:rFonts w:hint="eastAsia" w:ascii="宋体" w:hAnsi="宋体"/>
                <w:sz w:val="24"/>
              </w:rPr>
              <w:t>）仪器定期</w:t>
            </w:r>
            <w:r>
              <w:rPr>
                <w:rFonts w:hint="eastAsia" w:ascii="宋体" w:hAnsi="宋体"/>
                <w:sz w:val="24"/>
                <w:lang w:eastAsia="zh-CN"/>
              </w:rPr>
              <w:t>校核</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8" w:hRule="atLeast"/>
        </w:trPr>
        <w:tc>
          <w:tcPr>
            <w:tcW w:w="2104" w:type="dxa"/>
            <w:gridSpan w:val="2"/>
            <w:noWrap w:val="0"/>
            <w:vAlign w:val="center"/>
          </w:tcPr>
          <w:p>
            <w:pPr>
              <w:spacing w:line="380" w:lineRule="exact"/>
              <w:jc w:val="center"/>
              <w:rPr>
                <w:rFonts w:ascii="宋体"/>
                <w:b/>
                <w:sz w:val="24"/>
              </w:rPr>
            </w:pPr>
            <w:r>
              <w:rPr>
                <w:rFonts w:hint="eastAsia" w:ascii="宋体" w:hAnsi="宋体"/>
                <w:b/>
                <w:sz w:val="24"/>
              </w:rPr>
              <w:t>监测结果</w:t>
            </w:r>
          </w:p>
          <w:p>
            <w:pPr>
              <w:spacing w:line="380" w:lineRule="exact"/>
              <w:jc w:val="center"/>
              <w:rPr>
                <w:rFonts w:ascii="宋体"/>
                <w:sz w:val="24"/>
              </w:rPr>
            </w:pPr>
            <w:r>
              <w:rPr>
                <w:rFonts w:hint="eastAsia" w:ascii="宋体" w:hAnsi="宋体"/>
                <w:b/>
                <w:sz w:val="24"/>
              </w:rPr>
              <w:t>公开时限</w:t>
            </w:r>
          </w:p>
        </w:tc>
        <w:tc>
          <w:tcPr>
            <w:tcW w:w="11611" w:type="dxa"/>
            <w:gridSpan w:val="7"/>
            <w:noWrap w:val="0"/>
            <w:vAlign w:val="center"/>
          </w:tcPr>
          <w:p>
            <w:pPr>
              <w:spacing w:before="62" w:beforeLines="20" w:after="62" w:afterLines="20"/>
              <w:jc w:val="center"/>
              <w:rPr>
                <w:rFonts w:ascii="宋体" w:hAnsi="宋体"/>
                <w:sz w:val="24"/>
              </w:rPr>
            </w:pPr>
            <w:r>
              <w:rPr>
                <w:rFonts w:hint="eastAsia" w:ascii="宋体" w:hAnsi="宋体"/>
                <w:sz w:val="24"/>
              </w:rPr>
              <w:t>手工监测在监测完成后的次日于威海市环保局门户网站上公布。</w:t>
            </w:r>
          </w:p>
        </w:tc>
      </w:tr>
    </w:tbl>
    <w:p>
      <w:pPr>
        <w:spacing w:line="380" w:lineRule="exact"/>
        <w:jc w:val="center"/>
        <w:rPr>
          <w:rFonts w:hint="eastAsia" w:ascii="黑体" w:hAnsi="黑体" w:eastAsia="黑体"/>
          <w:b/>
          <w:sz w:val="32"/>
          <w:szCs w:val="32"/>
        </w:rPr>
      </w:pPr>
      <w:r>
        <w:rPr>
          <w:rFonts w:hint="eastAsia" w:ascii="黑体" w:hAnsi="黑体" w:eastAsia="黑体"/>
          <w:b/>
          <w:sz w:val="32"/>
          <w:szCs w:val="32"/>
        </w:rPr>
        <w:t xml:space="preserve"> </w:t>
      </w:r>
    </w:p>
    <w:p>
      <w:pPr>
        <w:spacing w:line="380" w:lineRule="exact"/>
        <w:jc w:val="center"/>
        <w:rPr>
          <w:rFonts w:ascii="黑体" w:hAnsi="黑体" w:eastAsia="黑体"/>
          <w:b/>
          <w:sz w:val="32"/>
          <w:szCs w:val="32"/>
        </w:rPr>
      </w:pPr>
      <w:r>
        <w:rPr>
          <w:rFonts w:hint="eastAsia" w:ascii="黑体" w:hAnsi="黑体" w:eastAsia="黑体"/>
          <w:b/>
          <w:sz w:val="32"/>
          <w:szCs w:val="32"/>
        </w:rPr>
        <w:t>厂界噪声自行监测内容表</w:t>
      </w:r>
    </w:p>
    <w:p>
      <w:pPr>
        <w:spacing w:line="380" w:lineRule="exact"/>
        <w:ind w:firstLine="803" w:firstLineChars="250"/>
        <w:jc w:val="center"/>
        <w:rPr>
          <w:rFonts w:ascii="黑体" w:hAnsi="黑体" w:eastAsia="黑体"/>
          <w:b/>
          <w:sz w:val="32"/>
          <w:szCs w:val="32"/>
        </w:rPr>
      </w:pPr>
    </w:p>
    <w:tbl>
      <w:tblPr>
        <w:tblStyle w:val="10"/>
        <w:tblW w:w="13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348"/>
        <w:gridCol w:w="1284"/>
        <w:gridCol w:w="1284"/>
        <w:gridCol w:w="4070"/>
        <w:gridCol w:w="1284"/>
        <w:gridCol w:w="1393"/>
        <w:gridCol w:w="1284"/>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2146" w:type="dxa"/>
            <w:gridSpan w:val="2"/>
            <w:tcBorders>
              <w:top w:val="single" w:color="auto" w:sz="12" w:space="0"/>
              <w:bottom w:val="single" w:color="auto" w:sz="12" w:space="0"/>
              <w:tl2br w:val="single" w:color="auto" w:sz="4" w:space="0"/>
            </w:tcBorders>
            <w:noWrap w:val="0"/>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284" w:type="dxa"/>
            <w:tcBorders>
              <w:top w:val="single" w:color="auto" w:sz="12" w:space="0"/>
              <w:bottom w:val="single" w:color="auto" w:sz="12" w:space="0"/>
            </w:tcBorders>
            <w:noWrap w:val="0"/>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284" w:type="dxa"/>
            <w:tcBorders>
              <w:top w:val="single" w:color="auto" w:sz="12" w:space="0"/>
              <w:bottom w:val="single" w:color="auto" w:sz="12" w:space="0"/>
            </w:tcBorders>
            <w:noWrap w:val="0"/>
            <w:vAlign w:val="center"/>
          </w:tcPr>
          <w:p>
            <w:pPr>
              <w:spacing w:line="320" w:lineRule="exact"/>
              <w:jc w:val="center"/>
              <w:rPr>
                <w:rFonts w:ascii="黑体" w:hAnsi="黑体" w:eastAsia="黑体"/>
                <w:b/>
                <w:sz w:val="24"/>
              </w:rPr>
            </w:pPr>
            <w:r>
              <w:rPr>
                <w:rFonts w:hint="eastAsia" w:ascii="黑体" w:hAnsi="黑体" w:eastAsia="黑体"/>
                <w:b/>
                <w:sz w:val="24"/>
              </w:rPr>
              <w:t>监测频次</w:t>
            </w:r>
          </w:p>
        </w:tc>
        <w:tc>
          <w:tcPr>
            <w:tcW w:w="4070" w:type="dxa"/>
            <w:tcBorders>
              <w:top w:val="single" w:color="auto" w:sz="12" w:space="0"/>
              <w:bottom w:val="single" w:color="auto" w:sz="12" w:space="0"/>
            </w:tcBorders>
            <w:noWrap w:val="0"/>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284"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1393"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284"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242" w:type="dxa"/>
            <w:tcBorders>
              <w:top w:val="single" w:color="auto" w:sz="12" w:space="0"/>
              <w:bottom w:val="single" w:color="auto" w:sz="12" w:space="0"/>
            </w:tcBorders>
            <w:noWrap w:val="0"/>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0" w:hRule="atLeast"/>
        </w:trPr>
        <w:tc>
          <w:tcPr>
            <w:tcW w:w="798" w:type="dxa"/>
            <w:vMerge w:val="restart"/>
            <w:tcBorders>
              <w:top w:val="single" w:color="auto" w:sz="12" w:space="0"/>
            </w:tcBorders>
            <w:noWrap w:val="0"/>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348" w:type="dxa"/>
            <w:vMerge w:val="restart"/>
            <w:tcBorders>
              <w:top w:val="single" w:color="auto" w:sz="12" w:space="0"/>
            </w:tcBorders>
            <w:noWrap w:val="0"/>
            <w:vAlign w:val="center"/>
          </w:tcPr>
          <w:p>
            <w:pPr>
              <w:spacing w:line="320" w:lineRule="exact"/>
              <w:jc w:val="center"/>
              <w:rPr>
                <w:rFonts w:ascii="宋体"/>
                <w:sz w:val="24"/>
              </w:rPr>
            </w:pPr>
            <w:r>
              <w:rPr>
                <w:rFonts w:hint="eastAsia" w:ascii="宋体" w:hAnsi="宋体"/>
                <w:sz w:val="24"/>
              </w:rPr>
              <w:t>厂界噪声</w:t>
            </w:r>
          </w:p>
        </w:tc>
        <w:tc>
          <w:tcPr>
            <w:tcW w:w="1284" w:type="dxa"/>
            <w:noWrap w:val="0"/>
            <w:vAlign w:val="center"/>
          </w:tcPr>
          <w:p>
            <w:pPr>
              <w:spacing w:line="320" w:lineRule="exact"/>
              <w:jc w:val="center"/>
              <w:rPr>
                <w:rFonts w:ascii="宋体"/>
                <w:sz w:val="24"/>
              </w:rPr>
            </w:pPr>
            <w:r>
              <w:rPr>
                <w:rFonts w:hint="eastAsia" w:ascii="宋体" w:hAnsi="宋体"/>
                <w:sz w:val="24"/>
              </w:rPr>
              <w:t>厂界东</w:t>
            </w:r>
          </w:p>
        </w:tc>
        <w:tc>
          <w:tcPr>
            <w:tcW w:w="1284" w:type="dxa"/>
            <w:noWrap w:val="0"/>
            <w:vAlign w:val="center"/>
          </w:tcPr>
          <w:p>
            <w:pPr>
              <w:spacing w:line="320" w:lineRule="exact"/>
              <w:rPr>
                <w:rFonts w:ascii="宋体"/>
                <w:sz w:val="24"/>
              </w:rPr>
            </w:pPr>
            <w:r>
              <w:rPr>
                <w:rFonts w:hint="eastAsia" w:ascii="宋体" w:hAnsi="宋体"/>
                <w:sz w:val="24"/>
              </w:rPr>
              <w:t>每季度</w:t>
            </w:r>
          </w:p>
        </w:tc>
        <w:tc>
          <w:tcPr>
            <w:tcW w:w="4070" w:type="dxa"/>
            <w:noWrap w:val="0"/>
            <w:vAlign w:val="center"/>
          </w:tcPr>
          <w:p>
            <w:pPr>
              <w:spacing w:line="320" w:lineRule="exact"/>
              <w:jc w:val="center"/>
              <w:rPr>
                <w:rFonts w:ascii="宋体" w:hAnsi="宋体"/>
                <w:sz w:val="24"/>
              </w:rPr>
            </w:pPr>
            <w:r>
              <w:rPr>
                <w:rFonts w:ascii="宋体" w:hAnsi="宋体"/>
                <w:sz w:val="24"/>
              </w:rPr>
              <w:t>GB12348-2008</w:t>
            </w:r>
          </w:p>
          <w:p>
            <w:pPr>
              <w:spacing w:line="320" w:lineRule="exact"/>
              <w:jc w:val="center"/>
              <w:rPr>
                <w:rFonts w:ascii="宋体"/>
                <w:sz w:val="24"/>
              </w:rPr>
            </w:pPr>
            <w:r>
              <w:rPr>
                <w:rFonts w:hint="eastAsia" w:ascii="宋体" w:hAnsi="宋体"/>
                <w:sz w:val="24"/>
              </w:rPr>
              <w:t>《工业企业厂界环境噪声排放标准》</w:t>
            </w:r>
          </w:p>
        </w:tc>
        <w:tc>
          <w:tcPr>
            <w:tcW w:w="1284" w:type="dxa"/>
            <w:vMerge w:val="restart"/>
            <w:noWrap w:val="0"/>
            <w:vAlign w:val="center"/>
          </w:tcPr>
          <w:p>
            <w:pPr>
              <w:spacing w:line="320" w:lineRule="exact"/>
              <w:jc w:val="center"/>
              <w:rPr>
                <w:rFonts w:ascii="宋体"/>
                <w:sz w:val="24"/>
              </w:rPr>
            </w:pPr>
            <w:r>
              <w:rPr>
                <w:rFonts w:ascii="宋体" w:hAnsi="宋体"/>
                <w:sz w:val="24"/>
              </w:rPr>
              <w:t>60dB</w:t>
            </w:r>
            <w:r>
              <w:rPr>
                <w:rFonts w:hint="eastAsia" w:ascii="宋体" w:hAnsi="宋体"/>
                <w:sz w:val="24"/>
              </w:rPr>
              <w:t>（</w:t>
            </w:r>
            <w:r>
              <w:rPr>
                <w:rFonts w:ascii="宋体" w:hAnsi="宋体"/>
                <w:sz w:val="24"/>
              </w:rPr>
              <w:t>A</w:t>
            </w:r>
            <w:r>
              <w:rPr>
                <w:rFonts w:hint="eastAsia" w:ascii="宋体" w:hAnsi="宋体"/>
                <w:sz w:val="24"/>
              </w:rPr>
              <w:t>）（昼间）</w:t>
            </w:r>
            <w:r>
              <w:rPr>
                <w:rFonts w:ascii="宋体" w:hAnsi="宋体"/>
                <w:sz w:val="24"/>
              </w:rPr>
              <w:t>50dB</w:t>
            </w:r>
            <w:r>
              <w:rPr>
                <w:rFonts w:hint="eastAsia" w:ascii="宋体" w:hAnsi="宋体"/>
                <w:sz w:val="24"/>
              </w:rPr>
              <w:t>（</w:t>
            </w:r>
            <w:r>
              <w:rPr>
                <w:rFonts w:ascii="宋体" w:hAnsi="宋体"/>
                <w:sz w:val="24"/>
              </w:rPr>
              <w:t>A</w:t>
            </w:r>
            <w:r>
              <w:rPr>
                <w:rFonts w:hint="eastAsia" w:ascii="宋体" w:hAnsi="宋体"/>
                <w:sz w:val="24"/>
              </w:rPr>
              <w:t>）（夜间）</w:t>
            </w:r>
          </w:p>
          <w:p>
            <w:pPr>
              <w:spacing w:line="320" w:lineRule="exact"/>
              <w:jc w:val="center"/>
              <w:rPr>
                <w:rFonts w:ascii="宋体"/>
                <w:sz w:val="24"/>
              </w:rPr>
            </w:pPr>
          </w:p>
        </w:tc>
        <w:tc>
          <w:tcPr>
            <w:tcW w:w="1393" w:type="dxa"/>
            <w:vMerge w:val="restart"/>
            <w:noWrap w:val="0"/>
            <w:vAlign w:val="center"/>
          </w:tcPr>
          <w:p>
            <w:pPr>
              <w:spacing w:line="320" w:lineRule="exact"/>
              <w:jc w:val="center"/>
              <w:rPr>
                <w:rFonts w:ascii="宋体"/>
                <w:sz w:val="24"/>
              </w:rPr>
            </w:pPr>
            <w:r>
              <w:rPr>
                <w:rFonts w:hint="eastAsia" w:ascii="宋体" w:hAnsi="宋体"/>
                <w:sz w:val="24"/>
              </w:rPr>
              <w:t>《工业企业厂界环境噪声排放标准》</w:t>
            </w:r>
          </w:p>
        </w:tc>
        <w:tc>
          <w:tcPr>
            <w:tcW w:w="1284" w:type="dxa"/>
            <w:noWrap w:val="0"/>
            <w:vAlign w:val="center"/>
          </w:tcPr>
          <w:p>
            <w:pPr>
              <w:spacing w:line="320" w:lineRule="exact"/>
              <w:jc w:val="center"/>
              <w:rPr>
                <w:rFonts w:ascii="宋体"/>
                <w:sz w:val="24"/>
              </w:rPr>
            </w:pPr>
            <w:r>
              <w:rPr>
                <w:rFonts w:hint="eastAsia" w:ascii="宋体"/>
                <w:sz w:val="24"/>
              </w:rPr>
              <w:t>声级计</w:t>
            </w:r>
          </w:p>
        </w:tc>
        <w:tc>
          <w:tcPr>
            <w:tcW w:w="1242" w:type="dxa"/>
            <w:noWrap w:val="0"/>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798" w:type="dxa"/>
            <w:vMerge w:val="continue"/>
            <w:noWrap w:val="0"/>
            <w:vAlign w:val="center"/>
          </w:tcPr>
          <w:p>
            <w:pPr>
              <w:spacing w:line="320" w:lineRule="exact"/>
              <w:jc w:val="center"/>
              <w:rPr>
                <w:sz w:val="24"/>
              </w:rPr>
            </w:pPr>
          </w:p>
        </w:tc>
        <w:tc>
          <w:tcPr>
            <w:tcW w:w="1348" w:type="dxa"/>
            <w:vMerge w:val="continue"/>
            <w:noWrap w:val="0"/>
            <w:vAlign w:val="center"/>
          </w:tcPr>
          <w:p>
            <w:pPr>
              <w:spacing w:line="320" w:lineRule="exact"/>
              <w:jc w:val="center"/>
              <w:rPr>
                <w:rFonts w:ascii="宋体"/>
                <w:sz w:val="24"/>
              </w:rPr>
            </w:pPr>
          </w:p>
        </w:tc>
        <w:tc>
          <w:tcPr>
            <w:tcW w:w="1284" w:type="dxa"/>
            <w:noWrap w:val="0"/>
            <w:vAlign w:val="center"/>
          </w:tcPr>
          <w:p>
            <w:pPr>
              <w:spacing w:line="320" w:lineRule="exact"/>
              <w:jc w:val="center"/>
              <w:rPr>
                <w:rFonts w:hint="eastAsia" w:ascii="宋体"/>
                <w:sz w:val="24"/>
              </w:rPr>
            </w:pPr>
            <w:r>
              <w:rPr>
                <w:rFonts w:hint="eastAsia" w:ascii="宋体"/>
                <w:sz w:val="24"/>
              </w:rPr>
              <w:t>厂界西</w:t>
            </w:r>
          </w:p>
        </w:tc>
        <w:tc>
          <w:tcPr>
            <w:tcW w:w="1284" w:type="dxa"/>
            <w:noWrap w:val="0"/>
            <w:vAlign w:val="center"/>
          </w:tcPr>
          <w:p>
            <w:pPr>
              <w:spacing w:line="320" w:lineRule="exact"/>
              <w:rPr>
                <w:rFonts w:ascii="宋体"/>
                <w:sz w:val="24"/>
              </w:rPr>
            </w:pPr>
            <w:r>
              <w:rPr>
                <w:rFonts w:hint="eastAsia" w:ascii="宋体" w:hAnsi="宋体"/>
                <w:sz w:val="24"/>
              </w:rPr>
              <w:t>每季度</w:t>
            </w:r>
          </w:p>
        </w:tc>
        <w:tc>
          <w:tcPr>
            <w:tcW w:w="4070" w:type="dxa"/>
            <w:noWrap w:val="0"/>
            <w:vAlign w:val="center"/>
          </w:tcPr>
          <w:p>
            <w:pPr>
              <w:spacing w:line="320" w:lineRule="exact"/>
              <w:jc w:val="center"/>
              <w:rPr>
                <w:rFonts w:ascii="宋体" w:hAnsi="宋体"/>
                <w:sz w:val="24"/>
              </w:rPr>
            </w:pPr>
            <w:r>
              <w:rPr>
                <w:rFonts w:ascii="宋体" w:hAnsi="宋体"/>
                <w:sz w:val="24"/>
              </w:rPr>
              <w:t>GB12348-2008</w:t>
            </w:r>
          </w:p>
          <w:p>
            <w:pPr>
              <w:spacing w:line="320" w:lineRule="exact"/>
              <w:jc w:val="center"/>
              <w:rPr>
                <w:rFonts w:ascii="宋体"/>
                <w:sz w:val="24"/>
              </w:rPr>
            </w:pPr>
            <w:r>
              <w:rPr>
                <w:rFonts w:hint="eastAsia" w:ascii="宋体" w:hAnsi="宋体"/>
                <w:sz w:val="24"/>
              </w:rPr>
              <w:t>《工业企业厂界环境噪声排放标准》</w:t>
            </w:r>
          </w:p>
        </w:tc>
        <w:tc>
          <w:tcPr>
            <w:tcW w:w="1284" w:type="dxa"/>
            <w:vMerge w:val="continue"/>
            <w:noWrap w:val="0"/>
            <w:vAlign w:val="center"/>
          </w:tcPr>
          <w:p>
            <w:pPr>
              <w:spacing w:line="320" w:lineRule="exact"/>
              <w:jc w:val="center"/>
              <w:rPr>
                <w:rFonts w:ascii="宋体"/>
                <w:sz w:val="24"/>
              </w:rPr>
            </w:pPr>
          </w:p>
        </w:tc>
        <w:tc>
          <w:tcPr>
            <w:tcW w:w="1393" w:type="dxa"/>
            <w:vMerge w:val="continue"/>
            <w:noWrap w:val="0"/>
            <w:vAlign w:val="center"/>
          </w:tcPr>
          <w:p>
            <w:pPr>
              <w:spacing w:line="320" w:lineRule="exact"/>
              <w:jc w:val="center"/>
              <w:rPr>
                <w:rFonts w:ascii="宋体"/>
                <w:sz w:val="24"/>
              </w:rPr>
            </w:pPr>
          </w:p>
        </w:tc>
        <w:tc>
          <w:tcPr>
            <w:tcW w:w="1284" w:type="dxa"/>
            <w:noWrap w:val="0"/>
            <w:vAlign w:val="center"/>
          </w:tcPr>
          <w:p>
            <w:pPr>
              <w:spacing w:line="320" w:lineRule="exact"/>
              <w:jc w:val="center"/>
              <w:rPr>
                <w:rFonts w:ascii="宋体"/>
                <w:sz w:val="24"/>
              </w:rPr>
            </w:pPr>
            <w:r>
              <w:rPr>
                <w:rFonts w:hint="eastAsia" w:ascii="宋体"/>
                <w:sz w:val="24"/>
              </w:rPr>
              <w:t>声级计</w:t>
            </w:r>
          </w:p>
        </w:tc>
        <w:tc>
          <w:tcPr>
            <w:tcW w:w="1242" w:type="dxa"/>
            <w:noWrap w:val="0"/>
            <w:vAlign w:val="top"/>
          </w:tcPr>
          <w:p>
            <w:pPr>
              <w:spacing w:line="320" w:lineRule="exact"/>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798" w:type="dxa"/>
            <w:vMerge w:val="continue"/>
            <w:noWrap w:val="0"/>
            <w:vAlign w:val="center"/>
          </w:tcPr>
          <w:p>
            <w:pPr>
              <w:spacing w:line="320" w:lineRule="exact"/>
              <w:jc w:val="center"/>
              <w:rPr>
                <w:sz w:val="24"/>
              </w:rPr>
            </w:pPr>
          </w:p>
        </w:tc>
        <w:tc>
          <w:tcPr>
            <w:tcW w:w="1348" w:type="dxa"/>
            <w:vMerge w:val="continue"/>
            <w:noWrap w:val="0"/>
            <w:vAlign w:val="center"/>
          </w:tcPr>
          <w:p>
            <w:pPr>
              <w:spacing w:line="320" w:lineRule="exact"/>
              <w:jc w:val="center"/>
              <w:rPr>
                <w:sz w:val="24"/>
              </w:rPr>
            </w:pPr>
          </w:p>
        </w:tc>
        <w:tc>
          <w:tcPr>
            <w:tcW w:w="1284" w:type="dxa"/>
            <w:noWrap w:val="0"/>
            <w:vAlign w:val="center"/>
          </w:tcPr>
          <w:p>
            <w:pPr>
              <w:spacing w:line="320" w:lineRule="exact"/>
              <w:jc w:val="center"/>
              <w:rPr>
                <w:sz w:val="24"/>
              </w:rPr>
            </w:pPr>
            <w:r>
              <w:rPr>
                <w:rFonts w:hint="eastAsia"/>
                <w:sz w:val="24"/>
              </w:rPr>
              <w:t>厂界南</w:t>
            </w:r>
          </w:p>
        </w:tc>
        <w:tc>
          <w:tcPr>
            <w:tcW w:w="1284" w:type="dxa"/>
            <w:noWrap w:val="0"/>
            <w:vAlign w:val="center"/>
          </w:tcPr>
          <w:p>
            <w:pPr>
              <w:spacing w:line="320" w:lineRule="exact"/>
              <w:rPr>
                <w:rFonts w:ascii="宋体"/>
                <w:sz w:val="24"/>
              </w:rPr>
            </w:pPr>
            <w:r>
              <w:rPr>
                <w:rFonts w:hint="eastAsia" w:ascii="宋体" w:hAnsi="宋体"/>
                <w:sz w:val="24"/>
              </w:rPr>
              <w:t>每季度</w:t>
            </w:r>
          </w:p>
        </w:tc>
        <w:tc>
          <w:tcPr>
            <w:tcW w:w="4070" w:type="dxa"/>
            <w:noWrap w:val="0"/>
            <w:vAlign w:val="center"/>
          </w:tcPr>
          <w:p>
            <w:pPr>
              <w:spacing w:line="320" w:lineRule="exact"/>
              <w:jc w:val="center"/>
              <w:rPr>
                <w:rFonts w:ascii="宋体" w:hAnsi="宋体"/>
                <w:sz w:val="24"/>
              </w:rPr>
            </w:pPr>
            <w:r>
              <w:rPr>
                <w:rFonts w:ascii="宋体" w:hAnsi="宋体"/>
                <w:sz w:val="24"/>
              </w:rPr>
              <w:t>GB12348-2008</w:t>
            </w:r>
          </w:p>
          <w:p>
            <w:pPr>
              <w:spacing w:line="320" w:lineRule="exact"/>
              <w:jc w:val="center"/>
              <w:rPr>
                <w:rFonts w:ascii="宋体"/>
                <w:sz w:val="24"/>
              </w:rPr>
            </w:pPr>
            <w:r>
              <w:rPr>
                <w:rFonts w:hint="eastAsia" w:ascii="宋体" w:hAnsi="宋体"/>
                <w:sz w:val="24"/>
              </w:rPr>
              <w:t>《工业企业厂界环境噪声排放标准》</w:t>
            </w:r>
          </w:p>
        </w:tc>
        <w:tc>
          <w:tcPr>
            <w:tcW w:w="1284" w:type="dxa"/>
            <w:vMerge w:val="continue"/>
            <w:noWrap w:val="0"/>
            <w:vAlign w:val="center"/>
          </w:tcPr>
          <w:p>
            <w:pPr>
              <w:spacing w:line="320" w:lineRule="exact"/>
              <w:jc w:val="center"/>
              <w:rPr>
                <w:rFonts w:ascii="宋体"/>
                <w:sz w:val="24"/>
              </w:rPr>
            </w:pPr>
          </w:p>
        </w:tc>
        <w:tc>
          <w:tcPr>
            <w:tcW w:w="1393" w:type="dxa"/>
            <w:vMerge w:val="continue"/>
            <w:noWrap w:val="0"/>
            <w:vAlign w:val="center"/>
          </w:tcPr>
          <w:p>
            <w:pPr>
              <w:spacing w:line="320" w:lineRule="exact"/>
              <w:jc w:val="center"/>
              <w:rPr>
                <w:rFonts w:ascii="宋体"/>
                <w:sz w:val="24"/>
              </w:rPr>
            </w:pPr>
          </w:p>
        </w:tc>
        <w:tc>
          <w:tcPr>
            <w:tcW w:w="1284" w:type="dxa"/>
            <w:noWrap w:val="0"/>
            <w:vAlign w:val="center"/>
          </w:tcPr>
          <w:p>
            <w:pPr>
              <w:spacing w:line="320" w:lineRule="exact"/>
              <w:jc w:val="center"/>
              <w:rPr>
                <w:rFonts w:ascii="宋体"/>
                <w:sz w:val="24"/>
              </w:rPr>
            </w:pPr>
            <w:r>
              <w:rPr>
                <w:rFonts w:hint="eastAsia" w:ascii="宋体"/>
                <w:sz w:val="24"/>
              </w:rPr>
              <w:t>声级计</w:t>
            </w:r>
          </w:p>
        </w:tc>
        <w:tc>
          <w:tcPr>
            <w:tcW w:w="1242"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798" w:type="dxa"/>
            <w:vMerge w:val="continue"/>
            <w:noWrap w:val="0"/>
            <w:vAlign w:val="center"/>
          </w:tcPr>
          <w:p>
            <w:pPr>
              <w:spacing w:line="320" w:lineRule="exact"/>
              <w:jc w:val="center"/>
              <w:rPr>
                <w:sz w:val="24"/>
              </w:rPr>
            </w:pPr>
          </w:p>
        </w:tc>
        <w:tc>
          <w:tcPr>
            <w:tcW w:w="1348" w:type="dxa"/>
            <w:vMerge w:val="continue"/>
            <w:noWrap w:val="0"/>
            <w:vAlign w:val="center"/>
          </w:tcPr>
          <w:p>
            <w:pPr>
              <w:spacing w:line="320" w:lineRule="exact"/>
              <w:jc w:val="center"/>
              <w:rPr>
                <w:sz w:val="24"/>
              </w:rPr>
            </w:pPr>
          </w:p>
        </w:tc>
        <w:tc>
          <w:tcPr>
            <w:tcW w:w="1284" w:type="dxa"/>
            <w:noWrap w:val="0"/>
            <w:vAlign w:val="center"/>
          </w:tcPr>
          <w:p>
            <w:pPr>
              <w:spacing w:line="320" w:lineRule="exact"/>
              <w:jc w:val="center"/>
              <w:rPr>
                <w:sz w:val="24"/>
              </w:rPr>
            </w:pPr>
            <w:r>
              <w:rPr>
                <w:rFonts w:hint="eastAsia"/>
                <w:sz w:val="24"/>
              </w:rPr>
              <w:t>厂界北</w:t>
            </w:r>
          </w:p>
        </w:tc>
        <w:tc>
          <w:tcPr>
            <w:tcW w:w="1284" w:type="dxa"/>
            <w:noWrap w:val="0"/>
            <w:vAlign w:val="center"/>
          </w:tcPr>
          <w:p>
            <w:pPr>
              <w:spacing w:line="320" w:lineRule="exact"/>
              <w:rPr>
                <w:rFonts w:ascii="宋体"/>
                <w:sz w:val="24"/>
              </w:rPr>
            </w:pPr>
            <w:r>
              <w:rPr>
                <w:rFonts w:hint="eastAsia" w:ascii="宋体" w:hAnsi="宋体"/>
                <w:sz w:val="24"/>
              </w:rPr>
              <w:t>每季度</w:t>
            </w:r>
          </w:p>
        </w:tc>
        <w:tc>
          <w:tcPr>
            <w:tcW w:w="4070" w:type="dxa"/>
            <w:noWrap w:val="0"/>
            <w:vAlign w:val="center"/>
          </w:tcPr>
          <w:p>
            <w:pPr>
              <w:spacing w:line="320" w:lineRule="exact"/>
              <w:jc w:val="center"/>
              <w:rPr>
                <w:rFonts w:ascii="宋体" w:hAnsi="宋体"/>
                <w:sz w:val="24"/>
              </w:rPr>
            </w:pPr>
            <w:r>
              <w:rPr>
                <w:rFonts w:ascii="宋体" w:hAnsi="宋体"/>
                <w:sz w:val="24"/>
              </w:rPr>
              <w:t>GB12348-2008</w:t>
            </w:r>
          </w:p>
          <w:p>
            <w:pPr>
              <w:spacing w:line="320" w:lineRule="exact"/>
              <w:jc w:val="center"/>
              <w:rPr>
                <w:rFonts w:ascii="宋体"/>
                <w:sz w:val="24"/>
              </w:rPr>
            </w:pPr>
            <w:r>
              <w:rPr>
                <w:rFonts w:hint="eastAsia" w:ascii="宋体" w:hAnsi="宋体"/>
                <w:sz w:val="24"/>
              </w:rPr>
              <w:t>《工业企业厂界环境噪声排放标准》</w:t>
            </w:r>
          </w:p>
        </w:tc>
        <w:tc>
          <w:tcPr>
            <w:tcW w:w="1284" w:type="dxa"/>
            <w:vMerge w:val="continue"/>
            <w:noWrap w:val="0"/>
            <w:vAlign w:val="center"/>
          </w:tcPr>
          <w:p>
            <w:pPr>
              <w:spacing w:line="320" w:lineRule="exact"/>
              <w:jc w:val="center"/>
              <w:rPr>
                <w:rFonts w:ascii="宋体"/>
                <w:sz w:val="24"/>
              </w:rPr>
            </w:pPr>
          </w:p>
        </w:tc>
        <w:tc>
          <w:tcPr>
            <w:tcW w:w="1393" w:type="dxa"/>
            <w:vMerge w:val="continue"/>
            <w:noWrap w:val="0"/>
            <w:vAlign w:val="center"/>
          </w:tcPr>
          <w:p>
            <w:pPr>
              <w:spacing w:line="320" w:lineRule="exact"/>
              <w:jc w:val="center"/>
              <w:rPr>
                <w:rFonts w:ascii="宋体"/>
                <w:sz w:val="24"/>
              </w:rPr>
            </w:pPr>
          </w:p>
        </w:tc>
        <w:tc>
          <w:tcPr>
            <w:tcW w:w="1284" w:type="dxa"/>
            <w:noWrap w:val="0"/>
            <w:vAlign w:val="center"/>
          </w:tcPr>
          <w:p>
            <w:pPr>
              <w:spacing w:line="320" w:lineRule="exact"/>
              <w:jc w:val="center"/>
              <w:rPr>
                <w:rFonts w:ascii="宋体"/>
                <w:sz w:val="24"/>
              </w:rPr>
            </w:pPr>
            <w:r>
              <w:rPr>
                <w:rFonts w:hint="eastAsia" w:ascii="宋体"/>
                <w:sz w:val="24"/>
              </w:rPr>
              <w:t>声级计</w:t>
            </w:r>
          </w:p>
        </w:tc>
        <w:tc>
          <w:tcPr>
            <w:tcW w:w="1242" w:type="dxa"/>
            <w:noWrap w:val="0"/>
            <w:vAlign w:val="top"/>
          </w:tcPr>
          <w:p>
            <w:pPr>
              <w:spacing w:line="32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2146" w:type="dxa"/>
            <w:gridSpan w:val="2"/>
            <w:noWrap w:val="0"/>
            <w:vAlign w:val="center"/>
          </w:tcPr>
          <w:p>
            <w:pPr>
              <w:spacing w:line="380" w:lineRule="exact"/>
              <w:jc w:val="center"/>
              <w:rPr>
                <w:rFonts w:ascii="黑体" w:hAnsi="黑体" w:eastAsia="黑体"/>
                <w:b/>
                <w:sz w:val="24"/>
              </w:rPr>
            </w:pPr>
            <w:r>
              <w:rPr>
                <w:rFonts w:hint="eastAsia" w:ascii="黑体" w:hAnsi="黑体" w:eastAsia="黑体"/>
                <w:b/>
                <w:sz w:val="24"/>
              </w:rPr>
              <w:t>污染物排放方式</w:t>
            </w:r>
          </w:p>
          <w:p>
            <w:pPr>
              <w:spacing w:line="380" w:lineRule="exact"/>
              <w:jc w:val="center"/>
              <w:rPr>
                <w:sz w:val="24"/>
              </w:rPr>
            </w:pPr>
            <w:r>
              <w:rPr>
                <w:rFonts w:hint="eastAsia" w:ascii="黑体" w:hAnsi="黑体" w:eastAsia="黑体"/>
                <w:b/>
                <w:sz w:val="24"/>
              </w:rPr>
              <w:t>及排放去向</w:t>
            </w:r>
          </w:p>
        </w:tc>
        <w:tc>
          <w:tcPr>
            <w:tcW w:w="11841" w:type="dxa"/>
            <w:gridSpan w:val="7"/>
            <w:noWrap w:val="0"/>
            <w:vAlign w:val="center"/>
          </w:tcPr>
          <w:p>
            <w:pPr>
              <w:ind w:left="150"/>
              <w:jc w:val="center"/>
              <w:rPr>
                <w:rFonts w:hint="eastAsia" w:ascii="宋体" w:hAnsi="宋体"/>
                <w:sz w:val="24"/>
              </w:rPr>
            </w:pPr>
            <w:r>
              <w:rPr>
                <w:rFonts w:hint="eastAsia" w:ascii="宋体" w:hAnsi="宋体"/>
                <w:sz w:val="24"/>
              </w:rPr>
              <w:t>排入声环境。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2146" w:type="dxa"/>
            <w:gridSpan w:val="2"/>
            <w:noWrap w:val="0"/>
            <w:vAlign w:val="center"/>
          </w:tcPr>
          <w:p>
            <w:pPr>
              <w:spacing w:line="380" w:lineRule="exact"/>
              <w:jc w:val="center"/>
              <w:rPr>
                <w:sz w:val="24"/>
              </w:rPr>
            </w:pPr>
            <w:r>
              <w:rPr>
                <w:rFonts w:hint="eastAsia" w:ascii="黑体" w:hAnsi="黑体" w:eastAsia="黑体"/>
                <w:b/>
                <w:sz w:val="24"/>
              </w:rPr>
              <w:t>监测质量控制措施</w:t>
            </w:r>
          </w:p>
        </w:tc>
        <w:tc>
          <w:tcPr>
            <w:tcW w:w="11841" w:type="dxa"/>
            <w:gridSpan w:val="7"/>
            <w:noWrap w:val="0"/>
            <w:vAlign w:val="center"/>
          </w:tcPr>
          <w:p>
            <w:pPr>
              <w:ind w:left="150"/>
              <w:jc w:val="center"/>
              <w:rPr>
                <w:rFonts w:ascii="宋体" w:hAnsi="宋体"/>
                <w:sz w:val="24"/>
              </w:rPr>
            </w:pPr>
            <w:r>
              <w:rPr>
                <w:rFonts w:hint="eastAsia" w:ascii="宋体" w:hAnsi="宋体"/>
                <w:sz w:val="24"/>
              </w:rPr>
              <w:t>噪声仪定期鉴定。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7" w:hRule="atLeast"/>
        </w:trPr>
        <w:tc>
          <w:tcPr>
            <w:tcW w:w="2146" w:type="dxa"/>
            <w:gridSpan w:val="2"/>
            <w:noWrap w:val="0"/>
            <w:vAlign w:val="center"/>
          </w:tcPr>
          <w:p>
            <w:pPr>
              <w:spacing w:line="380" w:lineRule="exact"/>
              <w:jc w:val="center"/>
              <w:rPr>
                <w:rFonts w:ascii="黑体" w:hAnsi="黑体" w:eastAsia="黑体"/>
                <w:b/>
                <w:sz w:val="24"/>
              </w:rPr>
            </w:pPr>
            <w:r>
              <w:rPr>
                <w:rFonts w:hint="eastAsia" w:ascii="黑体" w:hAnsi="黑体" w:eastAsia="黑体"/>
                <w:b/>
                <w:sz w:val="24"/>
              </w:rPr>
              <w:t>监测结果</w:t>
            </w:r>
          </w:p>
          <w:p>
            <w:pPr>
              <w:spacing w:line="380" w:lineRule="exact"/>
              <w:jc w:val="center"/>
              <w:rPr>
                <w:sz w:val="24"/>
              </w:rPr>
            </w:pPr>
            <w:r>
              <w:rPr>
                <w:rFonts w:hint="eastAsia" w:ascii="黑体" w:hAnsi="黑体" w:eastAsia="黑体"/>
                <w:b/>
                <w:sz w:val="24"/>
              </w:rPr>
              <w:t>公开时限</w:t>
            </w:r>
          </w:p>
        </w:tc>
        <w:tc>
          <w:tcPr>
            <w:tcW w:w="11841" w:type="dxa"/>
            <w:gridSpan w:val="7"/>
            <w:noWrap w:val="0"/>
            <w:vAlign w:val="center"/>
          </w:tcPr>
          <w:p>
            <w:pPr>
              <w:ind w:left="150"/>
              <w:jc w:val="center"/>
              <w:rPr>
                <w:rFonts w:ascii="宋体" w:hAnsi="宋体"/>
                <w:sz w:val="24"/>
              </w:rPr>
            </w:pPr>
            <w:r>
              <w:rPr>
                <w:rFonts w:hint="eastAsia" w:ascii="宋体" w:hAnsi="宋体"/>
                <w:sz w:val="24"/>
              </w:rPr>
              <w:t>手工监测在监测完成后的次日于威海市环保局门户网站上公布。</w:t>
            </w:r>
          </w:p>
        </w:tc>
      </w:tr>
    </w:tbl>
    <w:p>
      <w:pPr>
        <w:spacing w:line="400" w:lineRule="exact"/>
        <w:jc w:val="left"/>
        <w:rPr>
          <w:b/>
          <w:sz w:val="24"/>
        </w:rPr>
        <w:sectPr>
          <w:pgSz w:w="16838" w:h="11906" w:orient="landscape"/>
          <w:pgMar w:top="1418" w:right="1440" w:bottom="1134" w:left="1440" w:header="851" w:footer="992" w:gutter="0"/>
          <w:cols w:space="425" w:num="1"/>
          <w:docGrid w:type="lines" w:linePitch="312" w:charSpace="0"/>
        </w:sectPr>
      </w:pPr>
    </w:p>
    <w:p>
      <w:pPr>
        <w:pStyle w:val="18"/>
        <w:snapToGrid w:val="0"/>
        <w:spacing w:after="0" w:line="360" w:lineRule="auto"/>
        <w:ind w:left="0" w:leftChars="0" w:firstLine="0" w:firstLineChars="0"/>
        <w:rPr>
          <w:rFonts w:ascii="黑体" w:hAnsi="黑体" w:eastAsia="黑体"/>
          <w:sz w:val="32"/>
          <w:szCs w:val="32"/>
          <w:lang w:eastAsia="zh-CN"/>
        </w:rPr>
      </w:pPr>
      <w:r>
        <w:rPr>
          <w:lang w:eastAsia="zh-CN"/>
        </w:rPr>
        <mc:AlternateContent>
          <mc:Choice Requires="wps">
            <w:drawing>
              <wp:anchor distT="0" distB="0" distL="114300" distR="114300" simplePos="0" relativeHeight="251689984" behindDoc="0" locked="0" layoutInCell="1" allowOverlap="1">
                <wp:simplePos x="0" y="0"/>
                <wp:positionH relativeFrom="column">
                  <wp:posOffset>2272030</wp:posOffset>
                </wp:positionH>
                <wp:positionV relativeFrom="paragraph">
                  <wp:posOffset>-237490</wp:posOffset>
                </wp:positionV>
                <wp:extent cx="571500" cy="297180"/>
                <wp:effectExtent l="4445" t="4445" r="14605" b="1565275"/>
                <wp:wrapNone/>
                <wp:docPr id="32" name="矩形标注 32"/>
                <wp:cNvGraphicFramePr/>
                <a:graphic xmlns:a="http://schemas.openxmlformats.org/drawingml/2006/main">
                  <a:graphicData uri="http://schemas.microsoft.com/office/word/2010/wordprocessingShape">
                    <wps:wsp>
                      <wps:cNvSpPr/>
                      <wps:spPr>
                        <a:xfrm>
                          <a:off x="0" y="0"/>
                          <a:ext cx="571500" cy="297180"/>
                        </a:xfrm>
                        <a:prstGeom prst="wedgeRectCallout">
                          <a:avLst>
                            <a:gd name="adj1" fmla="val -20111"/>
                            <a:gd name="adj2" fmla="val 558759"/>
                          </a:avLst>
                        </a:prstGeom>
                        <a:solidFill>
                          <a:srgbClr val="FF0000">
                            <a:alpha val="28000"/>
                          </a:srgbClr>
                        </a:solidFill>
                        <a:ln w="9525" cap="flat" cmpd="sng">
                          <a:solidFill>
                            <a:srgbClr val="FF0000"/>
                          </a:solidFill>
                          <a:prstDash val="solid"/>
                          <a:miter/>
                          <a:headEnd type="none" w="med" len="med"/>
                          <a:tailEnd type="none" w="med" len="med"/>
                        </a:ln>
                      </wps:spPr>
                      <wps:txbx>
                        <w:txbxContent>
                          <w:p>
                            <w:pPr>
                              <w:rPr>
                                <w:rFonts w:hint="eastAsia"/>
                                <w:b/>
                                <w:color w:val="000000"/>
                                <w:sz w:val="18"/>
                                <w:szCs w:val="18"/>
                              </w:rPr>
                            </w:pPr>
                            <w:r>
                              <w:rPr>
                                <w:rFonts w:hint="eastAsia"/>
                                <w:b/>
                                <w:color w:val="000000"/>
                                <w:sz w:val="18"/>
                                <w:szCs w:val="18"/>
                              </w:rPr>
                              <w:t>厂界北</w:t>
                            </w:r>
                          </w:p>
                        </w:txbxContent>
                      </wps:txbx>
                      <wps:bodyPr upright="1"/>
                    </wps:wsp>
                  </a:graphicData>
                </a:graphic>
              </wp:anchor>
            </w:drawing>
          </mc:Choice>
          <mc:Fallback>
            <w:pict>
              <v:shape id="_x0000_s1026" o:spid="_x0000_s1026" o:spt="61" type="#_x0000_t61" style="position:absolute;left:0pt;margin-left:178.9pt;margin-top:-18.7pt;height:23.4pt;width:45pt;z-index:251689984;mso-width-relative:page;mso-height-relative:page;" fillcolor="#FF0000" filled="t" stroked="t" coordsize="21600,21600" o:gfxdata="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sYsk2QAAAAkBAAAPAAAAAAAAAAEAIAAAACIAAABkcnMvZG93bnJldi54bWxQ&#10;SwECFAAUAAAACACHTuJAz0mjrS8CAABiBAAADgAAAAAAAAABACAAAAAoAQAAZHJzL2Uyb0RvYy54&#10;bWxQSwUGAAAAAAYABgBZAQAAyQUAAAAA&#10;" adj="6456,131492">
                <v:fill on="t" opacity="18350f" focussize="0,0"/>
                <v:stroke color="#FF0000" joinstyle="miter"/>
                <v:imagedata o:title=""/>
                <o:lock v:ext="edit" aspectratio="f"/>
                <v:textbox>
                  <w:txbxContent>
                    <w:p>
                      <w:pPr>
                        <w:rPr>
                          <w:rFonts w:hint="eastAsia"/>
                          <w:b/>
                          <w:color w:val="000000"/>
                          <w:sz w:val="18"/>
                          <w:szCs w:val="18"/>
                        </w:rPr>
                      </w:pPr>
                      <w:r>
                        <w:rPr>
                          <w:rFonts w:hint="eastAsia"/>
                          <w:b/>
                          <w:color w:val="000000"/>
                          <w:sz w:val="18"/>
                          <w:szCs w:val="18"/>
                        </w:rPr>
                        <w:t>厂界北</w:t>
                      </w:r>
                    </w:p>
                  </w:txbxContent>
                </v:textbox>
              </v:shape>
            </w:pict>
          </mc:Fallback>
        </mc:AlternateContent>
      </w:r>
      <w:r>
        <w:rPr>
          <w:rFonts w:hint="eastAsia" w:ascii="黑体" w:hAnsi="黑体" w:eastAsia="黑体"/>
          <w:sz w:val="32"/>
          <w:szCs w:val="32"/>
          <w:lang w:eastAsia="zh-CN"/>
        </w:rPr>
        <w:t>监测点位示意图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sz w:val="28"/>
          <w:szCs w:val="28"/>
          <w:lang w:val="en-US" w:eastAsia="zh-CN"/>
        </w:rPr>
      </w:pPr>
      <w:r>
        <w:rPr>
          <w:lang w:eastAsia="zh-CN"/>
        </w:rPr>
        <mc:AlternateContent>
          <mc:Choice Requires="wps">
            <w:drawing>
              <wp:anchor distT="0" distB="0" distL="114300" distR="114300" simplePos="0" relativeHeight="251758592" behindDoc="0" locked="0" layoutInCell="1" allowOverlap="1">
                <wp:simplePos x="0" y="0"/>
                <wp:positionH relativeFrom="column">
                  <wp:posOffset>7015480</wp:posOffset>
                </wp:positionH>
                <wp:positionV relativeFrom="paragraph">
                  <wp:posOffset>4061460</wp:posOffset>
                </wp:positionV>
                <wp:extent cx="657225" cy="297180"/>
                <wp:effectExtent l="33020" t="780415" r="14605" b="8255"/>
                <wp:wrapNone/>
                <wp:docPr id="37" name="矩形标注 37"/>
                <wp:cNvGraphicFramePr/>
                <a:graphic xmlns:a="http://schemas.openxmlformats.org/drawingml/2006/main">
                  <a:graphicData uri="http://schemas.microsoft.com/office/word/2010/wordprocessingShape">
                    <wps:wsp>
                      <wps:cNvSpPr/>
                      <wps:spPr>
                        <a:xfrm>
                          <a:off x="0" y="0"/>
                          <a:ext cx="657225" cy="297180"/>
                        </a:xfrm>
                        <a:prstGeom prst="wedgeRectCallout">
                          <a:avLst>
                            <a:gd name="adj1" fmla="val -53287"/>
                            <a:gd name="adj2" fmla="val -300213"/>
                          </a:avLst>
                        </a:prstGeom>
                        <a:solidFill>
                          <a:srgbClr val="FF0000">
                            <a:alpha val="28000"/>
                          </a:srgbClr>
                        </a:solidFill>
                        <a:ln w="9525" cap="flat" cmpd="sng">
                          <a:solidFill>
                            <a:srgbClr val="FF0000"/>
                          </a:solidFill>
                          <a:prstDash val="solid"/>
                          <a:miter/>
                          <a:headEnd type="none" w="med" len="med"/>
                          <a:tailEnd type="none" w="med" len="med"/>
                        </a:ln>
                      </wps:spPr>
                      <wps:txbx>
                        <w:txbxContent>
                          <w:p>
                            <w:pPr>
                              <w:rPr>
                                <w:rFonts w:hint="eastAsia"/>
                                <w:b/>
                                <w:color w:val="000000"/>
                                <w:sz w:val="18"/>
                                <w:szCs w:val="18"/>
                              </w:rPr>
                            </w:pPr>
                            <w:r>
                              <w:rPr>
                                <w:rFonts w:hint="eastAsia"/>
                                <w:b/>
                                <w:color w:val="000000"/>
                                <w:sz w:val="18"/>
                                <w:szCs w:val="18"/>
                              </w:rPr>
                              <w:t>厂界东</w:t>
                            </w:r>
                          </w:p>
                        </w:txbxContent>
                      </wps:txbx>
                      <wps:bodyPr upright="1"/>
                    </wps:wsp>
                  </a:graphicData>
                </a:graphic>
              </wp:anchor>
            </w:drawing>
          </mc:Choice>
          <mc:Fallback>
            <w:pict>
              <v:shape id="_x0000_s1026" o:spid="_x0000_s1026" o:spt="61" type="#_x0000_t61" style="position:absolute;left:0pt;margin-left:552.4pt;margin-top:319.8pt;height:23.4pt;width:51.75pt;z-index:251758592;mso-width-relative:page;mso-height-relative:page;" fillcolor="#FF0000" filled="t" stroked="t" coordsize="21600,21600" o:gfxdata="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SEFXfYAAAADQEAAA8AAAAAAAAAAQAgAAAAIgAAAGRycy9kb3ducmV2Lnht&#10;bFBLAQIUABQAAAAIAIdO4kDnti/vMgIAAGMEAAAOAAAAAAAAAAEAIAAAACcBAABkcnMvZTJvRG9j&#10;LnhtbFBLBQYAAAAABgAGAFkBAADLBQAAAAA=&#10;" adj="-710,-54046">
                <v:fill on="t" opacity="18350f" focussize="0,0"/>
                <v:stroke color="#FF0000" joinstyle="miter"/>
                <v:imagedata o:title=""/>
                <o:lock v:ext="edit" aspectratio="f"/>
                <v:textbox>
                  <w:txbxContent>
                    <w:p>
                      <w:pPr>
                        <w:rPr>
                          <w:rFonts w:hint="eastAsia"/>
                          <w:b/>
                          <w:color w:val="000000"/>
                          <w:sz w:val="18"/>
                          <w:szCs w:val="18"/>
                        </w:rPr>
                      </w:pPr>
                      <w:r>
                        <w:rPr>
                          <w:rFonts w:hint="eastAsia"/>
                          <w:b/>
                          <w:color w:val="000000"/>
                          <w:sz w:val="18"/>
                          <w:szCs w:val="18"/>
                        </w:rPr>
                        <w:t>厂界东</w:t>
                      </w:r>
                    </w:p>
                  </w:txbxContent>
                </v:textbox>
              </v:shape>
            </w:pict>
          </mc:Fallback>
        </mc:AlternateContent>
      </w:r>
      <w:r>
        <w:rPr>
          <w:lang w:eastAsia="zh-CN"/>
        </w:rPr>
        <mc:AlternateContent>
          <mc:Choice Requires="wps">
            <w:drawing>
              <wp:anchor distT="0" distB="0" distL="114300" distR="114300" simplePos="0" relativeHeight="251744256" behindDoc="0" locked="0" layoutInCell="1" allowOverlap="1">
                <wp:simplePos x="0" y="0"/>
                <wp:positionH relativeFrom="column">
                  <wp:posOffset>6863080</wp:posOffset>
                </wp:positionH>
                <wp:positionV relativeFrom="paragraph">
                  <wp:posOffset>3909060</wp:posOffset>
                </wp:positionV>
                <wp:extent cx="657225" cy="297180"/>
                <wp:effectExtent l="33020" t="780415" r="14605" b="8255"/>
                <wp:wrapNone/>
                <wp:docPr id="36" name="矩形标注 36"/>
                <wp:cNvGraphicFramePr/>
                <a:graphic xmlns:a="http://schemas.openxmlformats.org/drawingml/2006/main">
                  <a:graphicData uri="http://schemas.microsoft.com/office/word/2010/wordprocessingShape">
                    <wps:wsp>
                      <wps:cNvSpPr/>
                      <wps:spPr>
                        <a:xfrm>
                          <a:off x="0" y="0"/>
                          <a:ext cx="657225" cy="297180"/>
                        </a:xfrm>
                        <a:prstGeom prst="wedgeRectCallout">
                          <a:avLst>
                            <a:gd name="adj1" fmla="val -53287"/>
                            <a:gd name="adj2" fmla="val -300213"/>
                          </a:avLst>
                        </a:prstGeom>
                        <a:solidFill>
                          <a:srgbClr val="FF0000">
                            <a:alpha val="28000"/>
                          </a:srgbClr>
                        </a:solidFill>
                        <a:ln w="9525" cap="flat" cmpd="sng">
                          <a:solidFill>
                            <a:srgbClr val="FF0000"/>
                          </a:solidFill>
                          <a:prstDash val="solid"/>
                          <a:miter/>
                          <a:headEnd type="none" w="med" len="med"/>
                          <a:tailEnd type="none" w="med" len="med"/>
                        </a:ln>
                      </wps:spPr>
                      <wps:txbx>
                        <w:txbxContent>
                          <w:p>
                            <w:pPr>
                              <w:rPr>
                                <w:rFonts w:hint="eastAsia"/>
                                <w:b/>
                                <w:color w:val="000000"/>
                                <w:sz w:val="18"/>
                                <w:szCs w:val="18"/>
                              </w:rPr>
                            </w:pPr>
                            <w:r>
                              <w:rPr>
                                <w:rFonts w:hint="eastAsia"/>
                                <w:b/>
                                <w:color w:val="000000"/>
                                <w:sz w:val="18"/>
                                <w:szCs w:val="18"/>
                              </w:rPr>
                              <w:t>厂界东</w:t>
                            </w:r>
                          </w:p>
                        </w:txbxContent>
                      </wps:txbx>
                      <wps:bodyPr upright="1"/>
                    </wps:wsp>
                  </a:graphicData>
                </a:graphic>
              </wp:anchor>
            </w:drawing>
          </mc:Choice>
          <mc:Fallback>
            <w:pict>
              <v:shape id="_x0000_s1026" o:spid="_x0000_s1026" o:spt="61" type="#_x0000_t61" style="position:absolute;left:0pt;margin-left:540.4pt;margin-top:307.8pt;height:23.4pt;width:51.75pt;z-index:251744256;mso-width-relative:page;mso-height-relative:page;" fillcolor="#FF0000" filled="t" stroked="t" coordsize="21600,21600" o:gfxdata="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ebyW2AAAAA0BAAAPAAAAAAAAAAEAIAAAACIAAABkcnMvZG93bnJldi54bWxQ&#10;SwECFAAUAAAACACHTuJAdc3BCDACAABjBAAADgAAAAAAAAABACAAAAAnAQAAZHJzL2Uyb0RvYy54&#10;bWxQSwUGAAAAAAYABgBZAQAAyQUAAAAA&#10;" adj="-710,-54046">
                <v:fill on="t" opacity="18350f" focussize="0,0"/>
                <v:stroke color="#FF0000" joinstyle="miter"/>
                <v:imagedata o:title=""/>
                <o:lock v:ext="edit" aspectratio="f"/>
                <v:textbox>
                  <w:txbxContent>
                    <w:p>
                      <w:pPr>
                        <w:rPr>
                          <w:rFonts w:hint="eastAsia"/>
                          <w:b/>
                          <w:color w:val="000000"/>
                          <w:sz w:val="18"/>
                          <w:szCs w:val="18"/>
                        </w:rPr>
                      </w:pPr>
                      <w:r>
                        <w:rPr>
                          <w:rFonts w:hint="eastAsia"/>
                          <w:b/>
                          <w:color w:val="000000"/>
                          <w:sz w:val="18"/>
                          <w:szCs w:val="18"/>
                        </w:rPr>
                        <w:t>厂界东</w:t>
                      </w:r>
                    </w:p>
                  </w:txbxContent>
                </v:textbox>
              </v:shape>
            </w:pict>
          </mc:Fallback>
        </mc:AlternateContent>
      </w:r>
      <w:r>
        <w:rPr>
          <w:lang w:eastAsia="zh-CN"/>
        </w:rPr>
        <mc:AlternateContent>
          <mc:Choice Requires="wps">
            <w:drawing>
              <wp:anchor distT="0" distB="0" distL="114300" distR="114300" simplePos="0" relativeHeight="251701248" behindDoc="0" locked="0" layoutInCell="1" allowOverlap="1">
                <wp:simplePos x="0" y="0"/>
                <wp:positionH relativeFrom="column">
                  <wp:posOffset>2995930</wp:posOffset>
                </wp:positionH>
                <wp:positionV relativeFrom="paragraph">
                  <wp:posOffset>48260</wp:posOffset>
                </wp:positionV>
                <wp:extent cx="781050" cy="287655"/>
                <wp:effectExtent l="303530" t="5080" r="20320" b="716915"/>
                <wp:wrapNone/>
                <wp:docPr id="33" name="矩形标注 33"/>
                <wp:cNvGraphicFramePr/>
                <a:graphic xmlns:a="http://schemas.openxmlformats.org/drawingml/2006/main">
                  <a:graphicData uri="http://schemas.microsoft.com/office/word/2010/wordprocessingShape">
                    <wps:wsp>
                      <wps:cNvSpPr/>
                      <wps:spPr>
                        <a:xfrm>
                          <a:off x="0" y="0"/>
                          <a:ext cx="781050" cy="287655"/>
                        </a:xfrm>
                        <a:prstGeom prst="wedgeRectCallout">
                          <a:avLst>
                            <a:gd name="adj1" fmla="val -85853"/>
                            <a:gd name="adj2" fmla="val 284437"/>
                          </a:avLst>
                        </a:prstGeom>
                        <a:solidFill>
                          <a:srgbClr val="FF0000">
                            <a:alpha val="28000"/>
                          </a:srgbClr>
                        </a:solidFill>
                        <a:ln w="9525" cap="flat" cmpd="sng">
                          <a:solidFill>
                            <a:srgbClr val="FF0000"/>
                          </a:solidFill>
                          <a:prstDash val="solid"/>
                          <a:miter/>
                          <a:headEnd type="none" w="med" len="med"/>
                          <a:tailEnd type="none" w="med" len="med"/>
                        </a:ln>
                      </wps:spPr>
                      <wps:txbx>
                        <w:txbxContent>
                          <w:p>
                            <w:pPr>
                              <w:rPr>
                                <w:rFonts w:hint="eastAsia" w:eastAsia="宋体"/>
                                <w:b/>
                                <w:color w:val="000000"/>
                                <w:sz w:val="18"/>
                                <w:szCs w:val="18"/>
                                <w:lang w:eastAsia="zh-CN"/>
                              </w:rPr>
                            </w:pPr>
                            <w:r>
                              <w:rPr>
                                <w:rFonts w:hint="eastAsia"/>
                                <w:b/>
                                <w:color w:val="000000"/>
                                <w:sz w:val="18"/>
                                <w:szCs w:val="18"/>
                              </w:rPr>
                              <w:t>S1</w:t>
                            </w:r>
                            <w:r>
                              <w:rPr>
                                <w:rFonts w:hint="eastAsia"/>
                                <w:b/>
                                <w:color w:val="000000"/>
                                <w:sz w:val="18"/>
                                <w:szCs w:val="18"/>
                                <w:lang w:eastAsia="zh-CN"/>
                              </w:rPr>
                              <w:t>（排放口）</w:t>
                            </w:r>
                          </w:p>
                        </w:txbxContent>
                      </wps:txbx>
                      <wps:bodyPr upright="1"/>
                    </wps:wsp>
                  </a:graphicData>
                </a:graphic>
              </wp:anchor>
            </w:drawing>
          </mc:Choice>
          <mc:Fallback>
            <w:pict>
              <v:shape id="_x0000_s1026" o:spid="_x0000_s1026" o:spt="61" type="#_x0000_t61" style="position:absolute;left:0pt;margin-left:235.9pt;margin-top:3.8pt;height:22.65pt;width:61.5pt;z-index:251701248;mso-width-relative:page;mso-height-relative:page;" fillcolor="#FF0000" filled="t" stroked="t" coordsize="21600,21600" o:gfxdata="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uRuHtcAAAAIAQAADwAAAAAAAAABACAAAAAiAAAAZHJzL2Rvd25yZXYueG1s&#10;UEsBAhQAFAAAAAgAh07iQAyTGXYyAgAAYgQAAA4AAAAAAAAAAQAgAAAAJgEAAGRycy9lMm9Eb2Mu&#10;eG1sUEsFBgAAAAAGAAYAWQEAAMoFAAAAAA==&#10;" adj="-7744,72238">
                <v:fill on="t" opacity="18350f" focussize="0,0"/>
                <v:stroke color="#FF0000" joinstyle="miter"/>
                <v:imagedata o:title=""/>
                <o:lock v:ext="edit" aspectratio="f"/>
                <v:textbox>
                  <w:txbxContent>
                    <w:p>
                      <w:pPr>
                        <w:rPr>
                          <w:rFonts w:hint="eastAsia" w:eastAsia="宋体"/>
                          <w:b/>
                          <w:color w:val="000000"/>
                          <w:sz w:val="18"/>
                          <w:szCs w:val="18"/>
                          <w:lang w:eastAsia="zh-CN"/>
                        </w:rPr>
                      </w:pPr>
                      <w:r>
                        <w:rPr>
                          <w:rFonts w:hint="eastAsia"/>
                          <w:b/>
                          <w:color w:val="000000"/>
                          <w:sz w:val="18"/>
                          <w:szCs w:val="18"/>
                        </w:rPr>
                        <w:t>S1</w:t>
                      </w:r>
                      <w:r>
                        <w:rPr>
                          <w:rFonts w:hint="eastAsia"/>
                          <w:b/>
                          <w:color w:val="000000"/>
                          <w:sz w:val="18"/>
                          <w:szCs w:val="18"/>
                          <w:lang w:eastAsia="zh-CN"/>
                        </w:rPr>
                        <w:t>（排放口）</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r>
        <w:rPr>
          <w:lang w:eastAsia="zh-CN"/>
        </w:rPr>
        <mc:AlternateContent>
          <mc:Choice Requires="wps">
            <w:drawing>
              <wp:anchor distT="0" distB="0" distL="114300" distR="114300" simplePos="0" relativeHeight="251917312" behindDoc="0" locked="0" layoutInCell="1" allowOverlap="1">
                <wp:simplePos x="0" y="0"/>
                <wp:positionH relativeFrom="column">
                  <wp:posOffset>5520690</wp:posOffset>
                </wp:positionH>
                <wp:positionV relativeFrom="paragraph">
                  <wp:posOffset>1610995</wp:posOffset>
                </wp:positionV>
                <wp:extent cx="562610" cy="287655"/>
                <wp:effectExtent l="4445" t="1069975" r="23495" b="13970"/>
                <wp:wrapNone/>
                <wp:docPr id="41" name="矩形标注 41"/>
                <wp:cNvGraphicFramePr/>
                <a:graphic xmlns:a="http://schemas.openxmlformats.org/drawingml/2006/main">
                  <a:graphicData uri="http://schemas.microsoft.com/office/word/2010/wordprocessingShape">
                    <wps:wsp>
                      <wps:cNvSpPr/>
                      <wps:spPr>
                        <a:xfrm flipH="1">
                          <a:off x="0" y="0"/>
                          <a:ext cx="562610" cy="287655"/>
                        </a:xfrm>
                        <a:prstGeom prst="wedgeRectCallout">
                          <a:avLst>
                            <a:gd name="adj1" fmla="val 24922"/>
                            <a:gd name="adj2" fmla="val -408719"/>
                          </a:avLst>
                        </a:prstGeom>
                        <a:solidFill>
                          <a:srgbClr val="FF0000">
                            <a:alpha val="28000"/>
                          </a:srgbClr>
                        </a:solidFill>
                        <a:ln w="9525" cap="flat" cmpd="sng">
                          <a:solidFill>
                            <a:srgbClr val="FF0000"/>
                          </a:solidFill>
                          <a:prstDash val="solid"/>
                          <a:miter/>
                          <a:headEnd type="none" w="med" len="med"/>
                          <a:tailEnd type="none" w="med" len="med"/>
                        </a:ln>
                      </wps:spPr>
                      <wps:txbx>
                        <w:txbxContent>
                          <w:p>
                            <w:pPr>
                              <w:rPr>
                                <w:rFonts w:hint="eastAsia" w:eastAsiaTheme="minorEastAsia"/>
                                <w:b/>
                                <w:color w:val="000000"/>
                                <w:sz w:val="18"/>
                                <w:szCs w:val="18"/>
                                <w:lang w:eastAsia="zh-CN"/>
                              </w:rPr>
                            </w:pPr>
                            <w:r>
                              <w:rPr>
                                <w:rFonts w:hint="eastAsia"/>
                                <w:b/>
                                <w:color w:val="000000"/>
                                <w:sz w:val="18"/>
                                <w:szCs w:val="18"/>
                              </w:rPr>
                              <w:t>厂界</w:t>
                            </w:r>
                            <w:r>
                              <w:rPr>
                                <w:rFonts w:hint="eastAsia"/>
                                <w:b/>
                                <w:color w:val="000000"/>
                                <w:sz w:val="18"/>
                                <w:szCs w:val="18"/>
                                <w:lang w:eastAsia="zh-CN"/>
                              </w:rPr>
                              <w:t>东</w:t>
                            </w:r>
                          </w:p>
                        </w:txbxContent>
                      </wps:txbx>
                      <wps:bodyPr upright="1"/>
                    </wps:wsp>
                  </a:graphicData>
                </a:graphic>
              </wp:anchor>
            </w:drawing>
          </mc:Choice>
          <mc:Fallback>
            <w:pict>
              <v:shape id="_x0000_s1026" o:spid="_x0000_s1026" o:spt="61" type="#_x0000_t61" style="position:absolute;left:0pt;flip:x;margin-left:434.7pt;margin-top:126.85pt;height:22.65pt;width:44.3pt;z-index:251917312;mso-width-relative:page;mso-height-relative:page;" fillcolor="#FF0000" filled="t" stroked="t" coordsize="21600,21600" o:gfxdata="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Z6cjB3AAAAAsBAAAPAAAAAAAAAAEAIAAAACIAAABkcnMv&#10;ZG93bnJldi54bWxQSwECFAAUAAAACACHTuJAmiTe1DgCAABsBAAADgAAAAAAAAABACAAAAArAQAA&#10;ZHJzL2Uyb0RvYy54bWxQSwUGAAAAAAYABgBZAQAA1QUAAAAA&#10;" adj="16183,-77483">
                <v:fill on="t" opacity="18350f" focussize="0,0"/>
                <v:stroke color="#FF0000" joinstyle="miter"/>
                <v:imagedata o:title=""/>
                <o:lock v:ext="edit" aspectratio="f"/>
                <v:textbox>
                  <w:txbxContent>
                    <w:p>
                      <w:pPr>
                        <w:rPr>
                          <w:rFonts w:hint="eastAsia" w:eastAsiaTheme="minorEastAsia"/>
                          <w:b/>
                          <w:color w:val="000000"/>
                          <w:sz w:val="18"/>
                          <w:szCs w:val="18"/>
                          <w:lang w:eastAsia="zh-CN"/>
                        </w:rPr>
                      </w:pPr>
                      <w:r>
                        <w:rPr>
                          <w:rFonts w:hint="eastAsia"/>
                          <w:b/>
                          <w:color w:val="000000"/>
                          <w:sz w:val="18"/>
                          <w:szCs w:val="18"/>
                        </w:rPr>
                        <w:t>厂界</w:t>
                      </w:r>
                      <w:r>
                        <w:rPr>
                          <w:rFonts w:hint="eastAsia"/>
                          <w:b/>
                          <w:color w:val="000000"/>
                          <w:sz w:val="18"/>
                          <w:szCs w:val="18"/>
                          <w:lang w:eastAsia="zh-CN"/>
                        </w:rPr>
                        <w:t>东</w:t>
                      </w:r>
                    </w:p>
                  </w:txbxContent>
                </v:textbox>
              </v:shape>
            </w:pict>
          </mc:Fallback>
        </mc:AlternateContent>
      </w:r>
      <w:r>
        <w:rPr>
          <w:lang w:eastAsia="zh-CN"/>
        </w:rPr>
        <mc:AlternateContent>
          <mc:Choice Requires="wps">
            <w:drawing>
              <wp:anchor distT="0" distB="0" distL="114300" distR="114300" simplePos="0" relativeHeight="251786240" behindDoc="0" locked="0" layoutInCell="1" allowOverlap="1">
                <wp:simplePos x="0" y="0"/>
                <wp:positionH relativeFrom="column">
                  <wp:posOffset>-861695</wp:posOffset>
                </wp:positionH>
                <wp:positionV relativeFrom="paragraph">
                  <wp:posOffset>1428750</wp:posOffset>
                </wp:positionV>
                <wp:extent cx="581025" cy="297180"/>
                <wp:effectExtent l="4445" t="4445" r="481330" b="22225"/>
                <wp:wrapNone/>
                <wp:docPr id="39" name="矩形标注 39"/>
                <wp:cNvGraphicFramePr/>
                <a:graphic xmlns:a="http://schemas.openxmlformats.org/drawingml/2006/main">
                  <a:graphicData uri="http://schemas.microsoft.com/office/word/2010/wordprocessingShape">
                    <wps:wsp>
                      <wps:cNvSpPr/>
                      <wps:spPr>
                        <a:xfrm>
                          <a:off x="0" y="0"/>
                          <a:ext cx="581025" cy="297180"/>
                        </a:xfrm>
                        <a:prstGeom prst="wedgeRectCallout">
                          <a:avLst>
                            <a:gd name="adj1" fmla="val 123879"/>
                            <a:gd name="adj2" fmla="val 45940"/>
                          </a:avLst>
                        </a:prstGeom>
                        <a:solidFill>
                          <a:srgbClr val="FF0000">
                            <a:alpha val="28000"/>
                          </a:srgbClr>
                        </a:solidFill>
                        <a:ln w="9525" cap="flat" cmpd="sng">
                          <a:solidFill>
                            <a:srgbClr val="FF0000"/>
                          </a:solidFill>
                          <a:prstDash val="solid"/>
                          <a:miter/>
                          <a:headEnd type="none" w="med" len="med"/>
                          <a:tailEnd type="none" w="med" len="med"/>
                        </a:ln>
                      </wps:spPr>
                      <wps:txbx>
                        <w:txbxContent>
                          <w:p>
                            <w:pPr>
                              <w:rPr>
                                <w:rFonts w:hint="eastAsia"/>
                                <w:b/>
                                <w:color w:val="000000"/>
                                <w:sz w:val="18"/>
                                <w:szCs w:val="18"/>
                              </w:rPr>
                            </w:pPr>
                            <w:r>
                              <w:rPr>
                                <w:rFonts w:hint="eastAsia"/>
                                <w:b/>
                                <w:color w:val="000000"/>
                                <w:sz w:val="18"/>
                                <w:szCs w:val="18"/>
                              </w:rPr>
                              <w:t>厂界西</w:t>
                            </w:r>
                          </w:p>
                        </w:txbxContent>
                      </wps:txbx>
                      <wps:bodyPr upright="1"/>
                    </wps:wsp>
                  </a:graphicData>
                </a:graphic>
              </wp:anchor>
            </w:drawing>
          </mc:Choice>
          <mc:Fallback>
            <w:pict>
              <v:shape id="_x0000_s1026" o:spid="_x0000_s1026" o:spt="61" type="#_x0000_t61" style="position:absolute;left:0pt;margin-left:-67.85pt;margin-top:112.5pt;height:23.4pt;width:45.75pt;z-index:251786240;mso-width-relative:page;mso-height-relative:page;" fillcolor="#FF0000" filled="t" stroked="t" coordsize="21600,21600" o:gfxdata="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JLvFV3AAAAAwBAAAPAAAAAAAAAAEAIAAAACIAAABkcnMvZG93bnJldi54bWxQ&#10;SwECFAAUAAAACACHTuJAz08cASwCAABhBAAADgAAAAAAAAABACAAAAArAQAAZHJzL2Uyb0RvYy54&#10;bWxQSwUGAAAAAAYABgBZAQAAyQUAAAAA&#10;" adj="37558,20723">
                <v:fill on="t" opacity="18350f" focussize="0,0"/>
                <v:stroke color="#FF0000" joinstyle="miter"/>
                <v:imagedata o:title=""/>
                <o:lock v:ext="edit" aspectratio="f"/>
                <v:textbox>
                  <w:txbxContent>
                    <w:p>
                      <w:pPr>
                        <w:rPr>
                          <w:rFonts w:hint="eastAsia"/>
                          <w:b/>
                          <w:color w:val="000000"/>
                          <w:sz w:val="18"/>
                          <w:szCs w:val="18"/>
                        </w:rPr>
                      </w:pPr>
                      <w:r>
                        <w:rPr>
                          <w:rFonts w:hint="eastAsia"/>
                          <w:b/>
                          <w:color w:val="000000"/>
                          <w:sz w:val="18"/>
                          <w:szCs w:val="18"/>
                        </w:rPr>
                        <w:t>厂界西</w:t>
                      </w:r>
                    </w:p>
                  </w:txbxContent>
                </v:textbox>
              </v:shape>
            </w:pict>
          </mc:Fallback>
        </mc:AlternateContent>
      </w:r>
      <w:r>
        <w:rPr>
          <w:lang w:eastAsia="zh-CN"/>
        </w:rPr>
        <mc:AlternateContent>
          <mc:Choice Requires="wps">
            <w:drawing>
              <wp:anchor distT="0" distB="0" distL="114300" distR="114300" simplePos="0" relativeHeight="251773952" behindDoc="0" locked="0" layoutInCell="1" allowOverlap="1">
                <wp:simplePos x="0" y="0"/>
                <wp:positionH relativeFrom="column">
                  <wp:posOffset>2863215</wp:posOffset>
                </wp:positionH>
                <wp:positionV relativeFrom="paragraph">
                  <wp:posOffset>2830195</wp:posOffset>
                </wp:positionV>
                <wp:extent cx="590550" cy="410845"/>
                <wp:effectExtent l="4445" t="575945" r="567055" b="22860"/>
                <wp:wrapNone/>
                <wp:docPr id="38" name="矩形标注 38"/>
                <wp:cNvGraphicFramePr/>
                <a:graphic xmlns:a="http://schemas.openxmlformats.org/drawingml/2006/main">
                  <a:graphicData uri="http://schemas.microsoft.com/office/word/2010/wordprocessingShape">
                    <wps:wsp>
                      <wps:cNvSpPr/>
                      <wps:spPr>
                        <a:xfrm flipH="1">
                          <a:off x="0" y="0"/>
                          <a:ext cx="590550" cy="410845"/>
                        </a:xfrm>
                        <a:prstGeom prst="wedgeRectCallout">
                          <a:avLst>
                            <a:gd name="adj1" fmla="val -137956"/>
                            <a:gd name="adj2" fmla="val -183848"/>
                          </a:avLst>
                        </a:prstGeom>
                        <a:solidFill>
                          <a:srgbClr val="FF0000">
                            <a:alpha val="28000"/>
                          </a:srgbClr>
                        </a:solidFill>
                        <a:ln w="9525" cap="flat" cmpd="sng">
                          <a:solidFill>
                            <a:srgbClr val="FF0000"/>
                          </a:solidFill>
                          <a:prstDash val="solid"/>
                          <a:miter/>
                          <a:headEnd type="none" w="med" len="med"/>
                          <a:tailEnd type="none" w="med" len="med"/>
                        </a:ln>
                      </wps:spPr>
                      <wps:txbx>
                        <w:txbxContent>
                          <w:p>
                            <w:pPr>
                              <w:rPr>
                                <w:rFonts w:hint="eastAsia"/>
                                <w:b/>
                                <w:color w:val="000000"/>
                                <w:sz w:val="18"/>
                                <w:szCs w:val="18"/>
                              </w:rPr>
                            </w:pPr>
                            <w:r>
                              <w:rPr>
                                <w:rFonts w:hint="eastAsia"/>
                                <w:b/>
                                <w:color w:val="000000"/>
                                <w:sz w:val="18"/>
                                <w:szCs w:val="18"/>
                              </w:rPr>
                              <w:t>厂界南</w:t>
                            </w:r>
                          </w:p>
                        </w:txbxContent>
                      </wps:txbx>
                      <wps:bodyPr upright="1"/>
                    </wps:wsp>
                  </a:graphicData>
                </a:graphic>
              </wp:anchor>
            </w:drawing>
          </mc:Choice>
          <mc:Fallback>
            <w:pict>
              <v:shape id="_x0000_s1026" o:spid="_x0000_s1026" o:spt="61" type="#_x0000_t61" style="position:absolute;left:0pt;flip:x;margin-left:225.45pt;margin-top:222.85pt;height:32.35pt;width:46.5pt;z-index:251773952;mso-width-relative:page;mso-height-relative:page;" fillcolor="#FF0000" filled="t" stroked="t" coordsize="21600,21600" o:gfxdata="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fTrBjZAAAACwEAAA8AAAAAAAAAAQAgAAAAIgAAAGRycy9k&#10;b3ducmV2LnhtbFBLAQIUABQAAAAIAIdO4kDluaBjOgIAAG4EAAAOAAAAAAAAAAEAIAAAACgBAABk&#10;cnMvZTJvRG9jLnhtbFBLBQYAAAAABgAGAFkBAADUBQAAAAA=&#10;" adj="-18998,-28911">
                <v:fill on="t" opacity="18350f" focussize="0,0"/>
                <v:stroke color="#FF0000" joinstyle="miter"/>
                <v:imagedata o:title=""/>
                <o:lock v:ext="edit" aspectratio="f"/>
                <v:textbox>
                  <w:txbxContent>
                    <w:p>
                      <w:pPr>
                        <w:rPr>
                          <w:rFonts w:hint="eastAsia"/>
                          <w:b/>
                          <w:color w:val="000000"/>
                          <w:sz w:val="18"/>
                          <w:szCs w:val="18"/>
                        </w:rPr>
                      </w:pPr>
                      <w:r>
                        <w:rPr>
                          <w:rFonts w:hint="eastAsia"/>
                          <w:b/>
                          <w:color w:val="000000"/>
                          <w:sz w:val="18"/>
                          <w:szCs w:val="18"/>
                        </w:rPr>
                        <w:t>厂界南</w:t>
                      </w:r>
                    </w:p>
                  </w:txbxContent>
                </v:textbox>
              </v:shape>
            </w:pict>
          </mc:Fallback>
        </mc:AlternateContent>
      </w:r>
      <w:r>
        <w:rPr>
          <w:rFonts w:ascii="Times New Roman" w:hAnsi="Times New Roman"/>
        </w:rPr>
        <w:drawing>
          <wp:inline distT="0" distB="0" distL="114300" distR="114300">
            <wp:extent cx="5784850" cy="2386965"/>
            <wp:effectExtent l="0" t="0" r="6350" b="1333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6"/>
                    <a:stretch>
                      <a:fillRect/>
                    </a:stretch>
                  </pic:blipFill>
                  <pic:spPr>
                    <a:xfrm>
                      <a:off x="0" y="0"/>
                      <a:ext cx="5784850" cy="23869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Times New Roman" w:hAnsi="Times New Roman"/>
        </w:rPr>
      </w:pPr>
    </w:p>
    <w:p>
      <w:pPr>
        <w:pStyle w:val="18"/>
        <w:snapToGrid w:val="0"/>
        <w:spacing w:after="0" w:line="360" w:lineRule="auto"/>
        <w:ind w:left="0"/>
        <w:rPr>
          <w:rFonts w:hint="eastAsia" w:ascii="黑体" w:hAnsi="黑体" w:eastAsia="黑体"/>
          <w:sz w:val="32"/>
          <w:szCs w:val="32"/>
          <w:lang w:eastAsia="zh-CN"/>
        </w:rPr>
      </w:pPr>
      <w:r>
        <w:rPr>
          <w:rFonts w:hint="eastAsia" w:ascii="黑体" w:hAnsi="黑体" w:eastAsia="黑体"/>
          <w:sz w:val="32"/>
          <w:szCs w:val="32"/>
          <w:lang w:eastAsia="zh-CN"/>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_GB2312" w:hAnsi="宋体" w:eastAsia="仿宋_GB2312"/>
          <w:sz w:val="32"/>
          <w:szCs w:val="32"/>
          <w:lang w:eastAsia="zh-CN"/>
        </w:rPr>
      </w:pPr>
      <w:r>
        <w:rPr>
          <w:rFonts w:ascii="仿宋_GB2312" w:hAnsi="宋体" w:eastAsia="仿宋_GB2312"/>
          <w:sz w:val="32"/>
          <w:szCs w:val="32"/>
          <w:lang w:eastAsia="zh-CN"/>
        </w:rPr>
        <w:t>1</w:t>
      </w:r>
      <w:r>
        <w:rPr>
          <w:rFonts w:hint="eastAsia" w:ascii="仿宋_GB2312" w:hAnsi="宋体" w:eastAsia="仿宋_GB2312"/>
          <w:sz w:val="32"/>
          <w:szCs w:val="32"/>
          <w:lang w:eastAsia="zh-CN"/>
        </w:rPr>
        <w:t>、企业排污许可证复印件：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312410" cy="3676650"/>
            <wp:effectExtent l="0" t="0" r="2540" b="0"/>
            <wp:docPr id="42" name="图片 6" descr="F42E7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F42E7FF6"/>
                    <pic:cNvPicPr>
                      <a:picLocks noChangeAspect="1"/>
                    </pic:cNvPicPr>
                  </pic:nvPicPr>
                  <pic:blipFill>
                    <a:blip r:embed="rId9"/>
                    <a:stretch>
                      <a:fillRect/>
                    </a:stretch>
                  </pic:blipFill>
                  <pic:spPr>
                    <a:xfrm>
                      <a:off x="0" y="0"/>
                      <a:ext cx="5312410" cy="3676650"/>
                    </a:xfrm>
                    <a:prstGeom prst="rect">
                      <a:avLst/>
                    </a:prstGeom>
                    <a:noFill/>
                    <a:ln>
                      <a:noFill/>
                    </a:ln>
                  </pic:spPr>
                </pic:pic>
              </a:graphicData>
            </a:graphic>
          </wp:inline>
        </w:drawing>
      </w:r>
    </w:p>
    <w:p>
      <w:pPr>
        <w:pStyle w:val="18"/>
        <w:snapToGrid w:val="0"/>
        <w:spacing w:after="0" w:line="360" w:lineRule="auto"/>
        <w:ind w:left="0" w:leftChars="0" w:firstLine="0" w:firstLineChars="0"/>
        <w:rPr>
          <w:rFonts w:hint="eastAsia" w:ascii="仿宋_GB2312" w:hAnsi="宋体" w:eastAsia="仿宋_GB2312"/>
          <w:sz w:val="32"/>
          <w:szCs w:val="32"/>
          <w:lang w:eastAsia="zh-CN"/>
        </w:rPr>
      </w:pPr>
      <w:r>
        <w:rPr>
          <w:rFonts w:hint="eastAsia" w:ascii="仿宋_GB2312" w:hAnsi="宋体" w:eastAsia="仿宋_GB2312" w:cstheme="minorBidi"/>
          <w:kern w:val="2"/>
          <w:sz w:val="32"/>
          <w:szCs w:val="32"/>
          <w:lang w:val="en-US" w:eastAsia="zh-CN" w:bidi="ar-SA"/>
        </w:rPr>
        <w:t>2、环境影响评价报告书（表）及其批复中有关环境监测内容复印件：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605780" cy="8150225"/>
            <wp:effectExtent l="0" t="0" r="13970" b="3175"/>
            <wp:docPr id="43"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6"/>
                    <pic:cNvPicPr>
                      <a:picLocks noChangeAspect="1"/>
                    </pic:cNvPicPr>
                  </pic:nvPicPr>
                  <pic:blipFill>
                    <a:blip r:embed="rId10"/>
                    <a:stretch>
                      <a:fillRect/>
                    </a:stretch>
                  </pic:blipFill>
                  <pic:spPr>
                    <a:xfrm>
                      <a:off x="0" y="0"/>
                      <a:ext cx="5605780" cy="81502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4150" cy="7163435"/>
            <wp:effectExtent l="0" t="0" r="12700" b="18415"/>
            <wp:docPr id="44" name="图片 8" descr="E70ECB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E70ECB79"/>
                    <pic:cNvPicPr>
                      <a:picLocks noChangeAspect="1"/>
                    </pic:cNvPicPr>
                  </pic:nvPicPr>
                  <pic:blipFill>
                    <a:blip r:embed="rId11"/>
                    <a:stretch>
                      <a:fillRect/>
                    </a:stretch>
                  </pic:blipFill>
                  <pic:spPr>
                    <a:xfrm>
                      <a:off x="0" y="0"/>
                      <a:ext cx="5264150" cy="71634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4150" cy="6697345"/>
            <wp:effectExtent l="0" t="0" r="12700" b="8255"/>
            <wp:docPr id="45" name="图片 9" descr="3B7534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3B7534EF"/>
                    <pic:cNvPicPr>
                      <a:picLocks noChangeAspect="1"/>
                    </pic:cNvPicPr>
                  </pic:nvPicPr>
                  <pic:blipFill>
                    <a:blip r:embed="rId12"/>
                    <a:stretch>
                      <a:fillRect/>
                    </a:stretch>
                  </pic:blipFill>
                  <pic:spPr>
                    <a:xfrm>
                      <a:off x="0" y="0"/>
                      <a:ext cx="5264150" cy="66973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9230" cy="7283450"/>
            <wp:effectExtent l="0" t="0" r="7620" b="12700"/>
            <wp:docPr id="46" name="图片 10" descr="6CC73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descr="6CC73BD5"/>
                    <pic:cNvPicPr>
                      <a:picLocks noChangeAspect="1"/>
                    </pic:cNvPicPr>
                  </pic:nvPicPr>
                  <pic:blipFill>
                    <a:blip r:embed="rId13"/>
                    <a:stretch>
                      <a:fillRect/>
                    </a:stretch>
                  </pic:blipFill>
                  <pic:spPr>
                    <a:xfrm>
                      <a:off x="0" y="0"/>
                      <a:ext cx="5269230" cy="72834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6690" cy="6995160"/>
            <wp:effectExtent l="0" t="0" r="10160" b="15240"/>
            <wp:docPr id="47" name="图片 11" descr="A2B87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descr="A2B871AB"/>
                    <pic:cNvPicPr>
                      <a:picLocks noChangeAspect="1"/>
                    </pic:cNvPicPr>
                  </pic:nvPicPr>
                  <pic:blipFill>
                    <a:blip r:embed="rId14"/>
                    <a:stretch>
                      <a:fillRect/>
                    </a:stretch>
                  </pic:blipFill>
                  <pic:spPr>
                    <a:xfrm>
                      <a:off x="0" y="0"/>
                      <a:ext cx="5266690" cy="6995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72405" cy="6774180"/>
            <wp:effectExtent l="0" t="0" r="4445" b="7620"/>
            <wp:docPr id="48" name="图片 12" descr="EF1DE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EF1DE3F1"/>
                    <pic:cNvPicPr>
                      <a:picLocks noChangeAspect="1"/>
                    </pic:cNvPicPr>
                  </pic:nvPicPr>
                  <pic:blipFill>
                    <a:blip r:embed="rId15"/>
                    <a:stretch>
                      <a:fillRect/>
                    </a:stretch>
                  </pic:blipFill>
                  <pic:spPr>
                    <a:xfrm>
                      <a:off x="0" y="0"/>
                      <a:ext cx="5272405" cy="67741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95900" cy="7572375"/>
            <wp:effectExtent l="0" t="0" r="0" b="9525"/>
            <wp:docPr id="49" name="图片 13" descr="1C777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1C777C27"/>
                    <pic:cNvPicPr>
                      <a:picLocks noChangeAspect="1"/>
                    </pic:cNvPicPr>
                  </pic:nvPicPr>
                  <pic:blipFill>
                    <a:blip r:embed="rId16"/>
                    <a:stretch>
                      <a:fillRect/>
                    </a:stretch>
                  </pic:blipFill>
                  <pic:spPr>
                    <a:xfrm>
                      <a:off x="0" y="0"/>
                      <a:ext cx="5295900" cy="75723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4150" cy="7417435"/>
            <wp:effectExtent l="0" t="0" r="12700" b="12065"/>
            <wp:docPr id="50" name="图片 14" descr="65205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descr="65205FCD"/>
                    <pic:cNvPicPr>
                      <a:picLocks noChangeAspect="1"/>
                    </pic:cNvPicPr>
                  </pic:nvPicPr>
                  <pic:blipFill>
                    <a:blip r:embed="rId17"/>
                    <a:stretch>
                      <a:fillRect/>
                    </a:stretch>
                  </pic:blipFill>
                  <pic:spPr>
                    <a:xfrm>
                      <a:off x="0" y="0"/>
                      <a:ext cx="5264150" cy="74174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4785" cy="8067675"/>
            <wp:effectExtent l="0" t="0" r="12065" b="9525"/>
            <wp:docPr id="51" name="图片 15" descr="C1480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descr="C1480B69"/>
                    <pic:cNvPicPr>
                      <a:picLocks noChangeAspect="1"/>
                    </pic:cNvPicPr>
                  </pic:nvPicPr>
                  <pic:blipFill>
                    <a:blip r:embed="rId18"/>
                    <a:stretch>
                      <a:fillRect/>
                    </a:stretch>
                  </pic:blipFill>
                  <pic:spPr>
                    <a:xfrm>
                      <a:off x="0" y="0"/>
                      <a:ext cx="5264785" cy="80676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73675" cy="8595995"/>
            <wp:effectExtent l="0" t="0" r="3175" b="14605"/>
            <wp:docPr id="52" name="图片 16" descr="6ABAA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6ABAAA5F"/>
                    <pic:cNvPicPr>
                      <a:picLocks noChangeAspect="1"/>
                    </pic:cNvPicPr>
                  </pic:nvPicPr>
                  <pic:blipFill>
                    <a:blip r:embed="rId19"/>
                    <a:stretch>
                      <a:fillRect/>
                    </a:stretch>
                  </pic:blipFill>
                  <pic:spPr>
                    <a:xfrm>
                      <a:off x="0" y="0"/>
                      <a:ext cx="5273675" cy="85959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70500" cy="8535670"/>
            <wp:effectExtent l="0" t="0" r="6350" b="17780"/>
            <wp:docPr id="53" name="图片 17" descr="58560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585602C5"/>
                    <pic:cNvPicPr>
                      <a:picLocks noChangeAspect="1"/>
                    </pic:cNvPicPr>
                  </pic:nvPicPr>
                  <pic:blipFill>
                    <a:blip r:embed="rId20"/>
                    <a:stretch>
                      <a:fillRect/>
                    </a:stretch>
                  </pic:blipFill>
                  <pic:spPr>
                    <a:xfrm>
                      <a:off x="0" y="0"/>
                      <a:ext cx="5270500" cy="85356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8595" cy="8797925"/>
            <wp:effectExtent l="0" t="0" r="8255" b="3175"/>
            <wp:docPr id="54" name="图片 18" descr="87F80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descr="87F8061B"/>
                    <pic:cNvPicPr>
                      <a:picLocks noChangeAspect="1"/>
                    </pic:cNvPicPr>
                  </pic:nvPicPr>
                  <pic:blipFill>
                    <a:blip r:embed="rId21"/>
                    <a:stretch>
                      <a:fillRect/>
                    </a:stretch>
                  </pic:blipFill>
                  <pic:spPr>
                    <a:xfrm>
                      <a:off x="0" y="0"/>
                      <a:ext cx="5268595" cy="87979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8595" cy="8453755"/>
            <wp:effectExtent l="0" t="0" r="8255" b="4445"/>
            <wp:docPr id="55" name="图片 19" descr="A7EF2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descr="A7EF21E1"/>
                    <pic:cNvPicPr>
                      <a:picLocks noChangeAspect="1"/>
                    </pic:cNvPicPr>
                  </pic:nvPicPr>
                  <pic:blipFill>
                    <a:blip r:embed="rId22"/>
                    <a:stretch>
                      <a:fillRect/>
                    </a:stretch>
                  </pic:blipFill>
                  <pic:spPr>
                    <a:xfrm>
                      <a:off x="0" y="0"/>
                      <a:ext cx="5268595" cy="84537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73040" cy="7409815"/>
            <wp:effectExtent l="0" t="0" r="3810" b="635"/>
            <wp:docPr id="56" name="图片 20" descr="C4940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descr="C49409D1"/>
                    <pic:cNvPicPr>
                      <a:picLocks noChangeAspect="1"/>
                    </pic:cNvPicPr>
                  </pic:nvPicPr>
                  <pic:blipFill>
                    <a:blip r:embed="rId23"/>
                    <a:stretch>
                      <a:fillRect/>
                    </a:stretch>
                  </pic:blipFill>
                  <pic:spPr>
                    <a:xfrm>
                      <a:off x="0" y="0"/>
                      <a:ext cx="5273040" cy="740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4150" cy="7644130"/>
            <wp:effectExtent l="0" t="0" r="12700" b="13970"/>
            <wp:docPr id="57" name="图片 21" descr="B018F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descr="B018F3AD"/>
                    <pic:cNvPicPr>
                      <a:picLocks noChangeAspect="1"/>
                    </pic:cNvPicPr>
                  </pic:nvPicPr>
                  <pic:blipFill>
                    <a:blip r:embed="rId24"/>
                    <a:stretch>
                      <a:fillRect/>
                    </a:stretch>
                  </pic:blipFill>
                  <pic:spPr>
                    <a:xfrm>
                      <a:off x="0" y="0"/>
                      <a:ext cx="5264150" cy="76441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9230" cy="7822565"/>
            <wp:effectExtent l="0" t="0" r="7620" b="6985"/>
            <wp:docPr id="58" name="图片 22" descr="10FC6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2" descr="10FC6F43"/>
                    <pic:cNvPicPr>
                      <a:picLocks noChangeAspect="1"/>
                    </pic:cNvPicPr>
                  </pic:nvPicPr>
                  <pic:blipFill>
                    <a:blip r:embed="rId25"/>
                    <a:stretch>
                      <a:fillRect/>
                    </a:stretch>
                  </pic:blipFill>
                  <pic:spPr>
                    <a:xfrm>
                      <a:off x="0" y="0"/>
                      <a:ext cx="5269230" cy="78225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9230" cy="7666990"/>
            <wp:effectExtent l="0" t="0" r="7620" b="10160"/>
            <wp:docPr id="59" name="图片 23" descr="1FA64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descr="1FA6473F"/>
                    <pic:cNvPicPr>
                      <a:picLocks noChangeAspect="1"/>
                    </pic:cNvPicPr>
                  </pic:nvPicPr>
                  <pic:blipFill>
                    <a:blip r:embed="rId26"/>
                    <a:stretch>
                      <a:fillRect/>
                    </a:stretch>
                  </pic:blipFill>
                  <pic:spPr>
                    <a:xfrm>
                      <a:off x="0" y="0"/>
                      <a:ext cx="5269230" cy="76669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69230" cy="7800975"/>
            <wp:effectExtent l="0" t="0" r="7620" b="9525"/>
            <wp:docPr id="60" name="图片 24" descr="E5411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descr="E54112A5"/>
                    <pic:cNvPicPr>
                      <a:picLocks noChangeAspect="1"/>
                    </pic:cNvPicPr>
                  </pic:nvPicPr>
                  <pic:blipFill>
                    <a:blip r:embed="rId27"/>
                    <a:stretch>
                      <a:fillRect/>
                    </a:stretch>
                  </pic:blipFill>
                  <pic:spPr>
                    <a:xfrm>
                      <a:off x="0" y="0"/>
                      <a:ext cx="5269230" cy="78009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273040" cy="7325360"/>
            <wp:effectExtent l="0" t="0" r="3810" b="8890"/>
            <wp:docPr id="61" name="图片 25" descr="A1DA0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descr="A1DA00FB"/>
                    <pic:cNvPicPr>
                      <a:picLocks noChangeAspect="1"/>
                    </pic:cNvPicPr>
                  </pic:nvPicPr>
                  <pic:blipFill>
                    <a:blip r:embed="rId28"/>
                    <a:stretch>
                      <a:fillRect/>
                    </a:stretch>
                  </pic:blipFill>
                  <pic:spPr>
                    <a:xfrm>
                      <a:off x="0" y="0"/>
                      <a:ext cx="5273040" cy="73253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829300" cy="8305165"/>
            <wp:effectExtent l="0" t="0" r="0" b="635"/>
            <wp:docPr id="62" name="图片 26" descr="74D5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descr="74D57336"/>
                    <pic:cNvPicPr>
                      <a:picLocks noChangeAspect="1"/>
                    </pic:cNvPicPr>
                  </pic:nvPicPr>
                  <pic:blipFill>
                    <a:blip r:embed="rId29"/>
                    <a:stretch>
                      <a:fillRect/>
                    </a:stretch>
                  </pic:blipFill>
                  <pic:spPr>
                    <a:xfrm>
                      <a:off x="0" y="0"/>
                      <a:ext cx="5829300" cy="83051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754370" cy="7615555"/>
            <wp:effectExtent l="0" t="0" r="17780" b="4445"/>
            <wp:docPr id="63"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7" descr="1"/>
                    <pic:cNvPicPr>
                      <a:picLocks noChangeAspect="1"/>
                    </pic:cNvPicPr>
                  </pic:nvPicPr>
                  <pic:blipFill>
                    <a:blip r:embed="rId30"/>
                    <a:stretch>
                      <a:fillRect/>
                    </a:stretch>
                  </pic:blipFill>
                  <pic:spPr>
                    <a:xfrm>
                      <a:off x="0" y="0"/>
                      <a:ext cx="5754370" cy="76155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lang w:eastAsia="zh-CN"/>
        </w:rPr>
      </w:pPr>
      <w:r>
        <w:drawing>
          <wp:inline distT="0" distB="0" distL="114300" distR="114300">
            <wp:extent cx="5733415" cy="7470775"/>
            <wp:effectExtent l="0" t="0" r="635" b="15875"/>
            <wp:docPr id="64"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8" descr="1"/>
                    <pic:cNvPicPr>
                      <a:picLocks noChangeAspect="1"/>
                    </pic:cNvPicPr>
                  </pic:nvPicPr>
                  <pic:blipFill>
                    <a:blip r:embed="rId31"/>
                    <a:stretch>
                      <a:fillRect/>
                    </a:stretch>
                  </pic:blipFill>
                  <pic:spPr>
                    <a:xfrm>
                      <a:off x="0" y="0"/>
                      <a:ext cx="5733415" cy="7470775"/>
                    </a:xfrm>
                    <a:prstGeom prst="rect">
                      <a:avLst/>
                    </a:prstGeom>
                    <a:noFill/>
                    <a:ln>
                      <a:noFill/>
                    </a:ln>
                  </pic:spPr>
                </pic:pic>
              </a:graphicData>
            </a:graphic>
          </wp:inline>
        </w:drawing>
      </w:r>
      <w:r>
        <w:rPr>
          <w:lang w:eastAsia="zh-CN"/>
        </w:rPr>
        <mc:AlternateContent>
          <mc:Choice Requires="wps">
            <w:drawing>
              <wp:anchor distT="0" distB="0" distL="114300" distR="114300" simplePos="0" relativeHeight="251800576" behindDoc="0" locked="0" layoutInCell="1" allowOverlap="1">
                <wp:simplePos x="0" y="0"/>
                <wp:positionH relativeFrom="column">
                  <wp:posOffset>7015480</wp:posOffset>
                </wp:positionH>
                <wp:positionV relativeFrom="paragraph">
                  <wp:posOffset>4061460</wp:posOffset>
                </wp:positionV>
                <wp:extent cx="657225" cy="297180"/>
                <wp:effectExtent l="33020" t="780415" r="14605" b="8255"/>
                <wp:wrapNone/>
                <wp:docPr id="40" name="矩形标注 40"/>
                <wp:cNvGraphicFramePr/>
                <a:graphic xmlns:a="http://schemas.openxmlformats.org/drawingml/2006/main">
                  <a:graphicData uri="http://schemas.microsoft.com/office/word/2010/wordprocessingShape">
                    <wps:wsp>
                      <wps:cNvSpPr/>
                      <wps:spPr>
                        <a:xfrm>
                          <a:off x="0" y="0"/>
                          <a:ext cx="657225" cy="297180"/>
                        </a:xfrm>
                        <a:prstGeom prst="wedgeRectCallout">
                          <a:avLst>
                            <a:gd name="adj1" fmla="val -53287"/>
                            <a:gd name="adj2" fmla="val -300213"/>
                          </a:avLst>
                        </a:prstGeom>
                        <a:solidFill>
                          <a:srgbClr val="FF0000">
                            <a:alpha val="28000"/>
                          </a:srgbClr>
                        </a:solidFill>
                        <a:ln w="9525" cap="flat" cmpd="sng">
                          <a:solidFill>
                            <a:srgbClr val="FF0000"/>
                          </a:solidFill>
                          <a:prstDash val="solid"/>
                          <a:miter/>
                          <a:headEnd type="none" w="med" len="med"/>
                          <a:tailEnd type="none" w="med" len="med"/>
                        </a:ln>
                      </wps:spPr>
                      <wps:txbx>
                        <w:txbxContent>
                          <w:p>
                            <w:pPr>
                              <w:rPr>
                                <w:rFonts w:hint="eastAsia"/>
                                <w:b/>
                                <w:color w:val="000000"/>
                                <w:sz w:val="18"/>
                                <w:szCs w:val="18"/>
                              </w:rPr>
                            </w:pPr>
                            <w:r>
                              <w:rPr>
                                <w:rFonts w:hint="eastAsia"/>
                                <w:b/>
                                <w:color w:val="000000"/>
                                <w:sz w:val="18"/>
                                <w:szCs w:val="18"/>
                              </w:rPr>
                              <w:t>厂界东</w:t>
                            </w:r>
                          </w:p>
                        </w:txbxContent>
                      </wps:txbx>
                      <wps:bodyPr upright="1"/>
                    </wps:wsp>
                  </a:graphicData>
                </a:graphic>
              </wp:anchor>
            </w:drawing>
          </mc:Choice>
          <mc:Fallback>
            <w:pict>
              <v:shape id="_x0000_s1026" o:spid="_x0000_s1026" o:spt="61" type="#_x0000_t61" style="position:absolute;left:0pt;margin-left:552.4pt;margin-top:319.8pt;height:23.4pt;width:51.75pt;z-index:251800576;mso-width-relative:page;mso-height-relative:page;" fillcolor="#FF0000" filled="t" stroked="t" coordsize="21600,21600" o:gfxdata="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khBV32AAAAA0BAAAPAAAAAAAAAAEAIAAAACIAAABkcnMvZG93bnJldi54bWxQ&#10;SwECFAAUAAAACACHTuJAo4qFbTACAABjBAAADgAAAAAAAAABACAAAAAnAQAAZHJzL2Uyb0RvYy54&#10;bWxQSwUGAAAAAAYABgBZAQAAyQUAAAAA&#10;" adj="-710,-54046">
                <v:fill on="t" opacity="18350f" focussize="0,0"/>
                <v:stroke color="#FF0000" joinstyle="miter"/>
                <v:imagedata o:title=""/>
                <o:lock v:ext="edit" aspectratio="f"/>
                <v:textbox>
                  <w:txbxContent>
                    <w:p>
                      <w:pPr>
                        <w:rPr>
                          <w:rFonts w:hint="eastAsia"/>
                          <w:b/>
                          <w:color w:val="000000"/>
                          <w:sz w:val="18"/>
                          <w:szCs w:val="18"/>
                        </w:rPr>
                      </w:pPr>
                      <w:r>
                        <w:rPr>
                          <w:rFonts w:hint="eastAsia"/>
                          <w:b/>
                          <w:color w:val="000000"/>
                          <w:sz w:val="18"/>
                          <w:szCs w:val="18"/>
                        </w:rPr>
                        <w:t>厂界东</w:t>
                      </w:r>
                    </w:p>
                  </w:txbxContent>
                </v:textbox>
              </v:shape>
            </w:pict>
          </mc:Fallback>
        </mc:AlternateContent>
      </w:r>
      <w:r>
        <w:rPr>
          <w:lang w:eastAsia="zh-CN"/>
        </w:rPr>
        <mc:AlternateContent>
          <mc:Choice Requires="wps">
            <w:drawing>
              <wp:anchor distT="0" distB="0" distL="114300" distR="114300" simplePos="0" relativeHeight="251729920" behindDoc="0" locked="0" layoutInCell="1" allowOverlap="1">
                <wp:simplePos x="0" y="0"/>
                <wp:positionH relativeFrom="column">
                  <wp:posOffset>6863080</wp:posOffset>
                </wp:positionH>
                <wp:positionV relativeFrom="paragraph">
                  <wp:posOffset>3909060</wp:posOffset>
                </wp:positionV>
                <wp:extent cx="657225" cy="297180"/>
                <wp:effectExtent l="33020" t="780415" r="14605" b="8255"/>
                <wp:wrapNone/>
                <wp:docPr id="35" name="矩形标注 35"/>
                <wp:cNvGraphicFramePr/>
                <a:graphic xmlns:a="http://schemas.openxmlformats.org/drawingml/2006/main">
                  <a:graphicData uri="http://schemas.microsoft.com/office/word/2010/wordprocessingShape">
                    <wps:wsp>
                      <wps:cNvSpPr/>
                      <wps:spPr>
                        <a:xfrm>
                          <a:off x="0" y="0"/>
                          <a:ext cx="657225" cy="297180"/>
                        </a:xfrm>
                        <a:prstGeom prst="wedgeRectCallout">
                          <a:avLst>
                            <a:gd name="adj1" fmla="val -53287"/>
                            <a:gd name="adj2" fmla="val -300213"/>
                          </a:avLst>
                        </a:prstGeom>
                        <a:solidFill>
                          <a:srgbClr val="FF0000">
                            <a:alpha val="28000"/>
                          </a:srgbClr>
                        </a:solidFill>
                        <a:ln w="9525" cap="flat" cmpd="sng">
                          <a:solidFill>
                            <a:srgbClr val="FF0000"/>
                          </a:solidFill>
                          <a:prstDash val="solid"/>
                          <a:miter/>
                          <a:headEnd type="none" w="med" len="med"/>
                          <a:tailEnd type="none" w="med" len="med"/>
                        </a:ln>
                      </wps:spPr>
                      <wps:txbx>
                        <w:txbxContent>
                          <w:p>
                            <w:pPr>
                              <w:rPr>
                                <w:rFonts w:hint="eastAsia"/>
                                <w:b/>
                                <w:color w:val="000000"/>
                                <w:sz w:val="18"/>
                                <w:szCs w:val="18"/>
                              </w:rPr>
                            </w:pPr>
                            <w:r>
                              <w:rPr>
                                <w:rFonts w:hint="eastAsia"/>
                                <w:b/>
                                <w:color w:val="000000"/>
                                <w:sz w:val="18"/>
                                <w:szCs w:val="18"/>
                              </w:rPr>
                              <w:t>厂界东</w:t>
                            </w:r>
                          </w:p>
                        </w:txbxContent>
                      </wps:txbx>
                      <wps:bodyPr upright="1"/>
                    </wps:wsp>
                  </a:graphicData>
                </a:graphic>
              </wp:anchor>
            </w:drawing>
          </mc:Choice>
          <mc:Fallback>
            <w:pict>
              <v:shape id="_x0000_s1026" o:spid="_x0000_s1026" o:spt="61" type="#_x0000_t61" style="position:absolute;left:0pt;margin-left:540.4pt;margin-top:307.8pt;height:23.4pt;width:51.75pt;z-index:251729920;mso-width-relative:page;mso-height-relative:page;" fillcolor="#FF0000" filled="t" stroked="t" coordsize="21600,21600" o:gfxdata="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ebyW2AAAAA0BAAAPAAAAAAAAAAEAIAAAACIAAABkcnMvZG93bnJldi54bWxQ&#10;SwECFAAUAAAACACHTuJAgkeC+zACAABjBAAADgAAAAAAAAABACAAAAAnAQAAZHJzL2Uyb0RvYy54&#10;bWxQSwUGAAAAAAYABgBZAQAAyQUAAAAA&#10;" adj="-710,-54046">
                <v:fill on="t" opacity="18350f" focussize="0,0"/>
                <v:stroke color="#FF0000" joinstyle="miter"/>
                <v:imagedata o:title=""/>
                <o:lock v:ext="edit" aspectratio="f"/>
                <v:textbox>
                  <w:txbxContent>
                    <w:p>
                      <w:pPr>
                        <w:rPr>
                          <w:rFonts w:hint="eastAsia"/>
                          <w:b/>
                          <w:color w:val="000000"/>
                          <w:sz w:val="18"/>
                          <w:szCs w:val="18"/>
                        </w:rPr>
                      </w:pPr>
                      <w:r>
                        <w:rPr>
                          <w:rFonts w:hint="eastAsia"/>
                          <w:b/>
                          <w:color w:val="000000"/>
                          <w:sz w:val="18"/>
                          <w:szCs w:val="18"/>
                        </w:rPr>
                        <w:t>厂界东</w:t>
                      </w:r>
                    </w:p>
                  </w:txbxContent>
                </v:textbox>
              </v:shape>
            </w:pict>
          </mc:Fallback>
        </mc:AlternateContent>
      </w:r>
      <w:r>
        <w:rPr>
          <w:lang w:eastAsia="zh-CN"/>
        </w:rPr>
        <mc:AlternateContent>
          <mc:Choice Requires="wps">
            <w:drawing>
              <wp:anchor distT="0" distB="0" distL="114300" distR="114300" simplePos="0" relativeHeight="251715584" behindDoc="0" locked="0" layoutInCell="1" allowOverlap="1">
                <wp:simplePos x="0" y="0"/>
                <wp:positionH relativeFrom="column">
                  <wp:posOffset>6844030</wp:posOffset>
                </wp:positionH>
                <wp:positionV relativeFrom="paragraph">
                  <wp:posOffset>3918585</wp:posOffset>
                </wp:positionV>
                <wp:extent cx="657225" cy="297180"/>
                <wp:effectExtent l="33020" t="780415" r="14605" b="8255"/>
                <wp:wrapNone/>
                <wp:docPr id="34" name="矩形标注 34"/>
                <wp:cNvGraphicFramePr/>
                <a:graphic xmlns:a="http://schemas.openxmlformats.org/drawingml/2006/main">
                  <a:graphicData uri="http://schemas.microsoft.com/office/word/2010/wordprocessingShape">
                    <wps:wsp>
                      <wps:cNvSpPr/>
                      <wps:spPr>
                        <a:xfrm>
                          <a:off x="0" y="0"/>
                          <a:ext cx="657225" cy="297180"/>
                        </a:xfrm>
                        <a:prstGeom prst="wedgeRectCallout">
                          <a:avLst>
                            <a:gd name="adj1" fmla="val -53287"/>
                            <a:gd name="adj2" fmla="val -300213"/>
                          </a:avLst>
                        </a:prstGeom>
                        <a:solidFill>
                          <a:srgbClr val="FF0000">
                            <a:alpha val="28000"/>
                          </a:srgbClr>
                        </a:solidFill>
                        <a:ln w="9525" cap="flat" cmpd="sng">
                          <a:solidFill>
                            <a:srgbClr val="FF0000"/>
                          </a:solidFill>
                          <a:prstDash val="solid"/>
                          <a:miter/>
                          <a:headEnd type="none" w="med" len="med"/>
                          <a:tailEnd type="none" w="med" len="med"/>
                        </a:ln>
                      </wps:spPr>
                      <wps:txbx>
                        <w:txbxContent>
                          <w:p>
                            <w:pPr>
                              <w:rPr>
                                <w:rFonts w:hint="eastAsia"/>
                                <w:b/>
                                <w:color w:val="000000"/>
                                <w:sz w:val="18"/>
                                <w:szCs w:val="18"/>
                              </w:rPr>
                            </w:pPr>
                            <w:r>
                              <w:rPr>
                                <w:rFonts w:hint="eastAsia"/>
                                <w:b/>
                                <w:color w:val="000000"/>
                                <w:sz w:val="18"/>
                                <w:szCs w:val="18"/>
                              </w:rPr>
                              <w:t>厂界东</w:t>
                            </w:r>
                          </w:p>
                        </w:txbxContent>
                      </wps:txbx>
                      <wps:bodyPr upright="1"/>
                    </wps:wsp>
                  </a:graphicData>
                </a:graphic>
              </wp:anchor>
            </w:drawing>
          </mc:Choice>
          <mc:Fallback>
            <w:pict>
              <v:shape id="_x0000_s1026" o:spid="_x0000_s1026" o:spt="61" type="#_x0000_t61" style="position:absolute;left:0pt;margin-left:538.9pt;margin-top:308.55pt;height:23.4pt;width:51.75pt;z-index:251715584;mso-width-relative:page;mso-height-relative:page;" fillcolor="#FF0000" filled="t" stroked="t" coordsize="21600,21600" o:gfxdata="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alLcNgAAAANAQAADwAAAAAAAAABACAAAAAiAAAAZHJzL2Rvd25yZXYueG1s&#10;UEsBAhQAFAAAAAgAh07iQBA8bBwxAgAAYwQAAA4AAAAAAAAAAQAgAAAAJwEAAGRycy9lMm9Eb2Mu&#10;eG1sUEsFBgAAAAAGAAYAWQEAAMoFAAAAAA==&#10;" adj="-710,-54046">
                <v:fill on="t" opacity="18350f" focussize="0,0"/>
                <v:stroke color="#FF0000" joinstyle="miter"/>
                <v:imagedata o:title=""/>
                <o:lock v:ext="edit" aspectratio="f"/>
                <v:textbox>
                  <w:txbxContent>
                    <w:p>
                      <w:pPr>
                        <w:rPr>
                          <w:rFonts w:hint="eastAsia"/>
                          <w:b/>
                          <w:color w:val="000000"/>
                          <w:sz w:val="18"/>
                          <w:szCs w:val="18"/>
                        </w:rPr>
                      </w:pPr>
                      <w:r>
                        <w:rPr>
                          <w:rFonts w:hint="eastAsia"/>
                          <w:b/>
                          <w:color w:val="000000"/>
                          <w:sz w:val="18"/>
                          <w:szCs w:val="18"/>
                        </w:rPr>
                        <w:t>厂界东</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815330" cy="7724140"/>
            <wp:effectExtent l="0" t="0" r="13970" b="10160"/>
            <wp:docPr id="65"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descr="1"/>
                    <pic:cNvPicPr>
                      <a:picLocks noChangeAspect="1"/>
                    </pic:cNvPicPr>
                  </pic:nvPicPr>
                  <pic:blipFill>
                    <a:blip r:embed="rId32"/>
                    <a:stretch>
                      <a:fillRect/>
                    </a:stretch>
                  </pic:blipFill>
                  <pic:spPr>
                    <a:xfrm>
                      <a:off x="0" y="0"/>
                      <a:ext cx="5815330" cy="77241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855970" cy="7236460"/>
            <wp:effectExtent l="0" t="0" r="11430" b="2540"/>
            <wp:docPr id="66"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descr="1"/>
                    <pic:cNvPicPr>
                      <a:picLocks noChangeAspect="1"/>
                    </pic:cNvPicPr>
                  </pic:nvPicPr>
                  <pic:blipFill>
                    <a:blip r:embed="rId33"/>
                    <a:stretch>
                      <a:fillRect/>
                    </a:stretch>
                  </pic:blipFill>
                  <pic:spPr>
                    <a:xfrm>
                      <a:off x="0" y="0"/>
                      <a:ext cx="5855970" cy="72364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6057265" cy="8359775"/>
            <wp:effectExtent l="0" t="0" r="635" b="3175"/>
            <wp:docPr id="67" name="图片 31" descr="C5FC8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1" descr="C5FC8E7A"/>
                    <pic:cNvPicPr>
                      <a:picLocks noChangeAspect="1"/>
                    </pic:cNvPicPr>
                  </pic:nvPicPr>
                  <pic:blipFill>
                    <a:blip r:embed="rId34"/>
                    <a:stretch>
                      <a:fillRect/>
                    </a:stretch>
                  </pic:blipFill>
                  <pic:spPr>
                    <a:xfrm>
                      <a:off x="0" y="0"/>
                      <a:ext cx="6057265" cy="8359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rPr>
        <w:drawing>
          <wp:inline distT="0" distB="0" distL="114300" distR="114300">
            <wp:extent cx="5941695" cy="8411845"/>
            <wp:effectExtent l="0" t="0" r="1905" b="8255"/>
            <wp:docPr id="68" name="图片 32" descr="97B74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2" descr="97B74C98"/>
                    <pic:cNvPicPr>
                      <a:picLocks noChangeAspect="1"/>
                    </pic:cNvPicPr>
                  </pic:nvPicPr>
                  <pic:blipFill>
                    <a:blip r:embed="rId35"/>
                    <a:stretch>
                      <a:fillRect/>
                    </a:stretch>
                  </pic:blipFill>
                  <pic:spPr>
                    <a:xfrm>
                      <a:off x="0" y="0"/>
                      <a:ext cx="5941695" cy="84118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952490" cy="7922260"/>
            <wp:effectExtent l="0" t="0" r="10160" b="2540"/>
            <wp:docPr id="69" name="图片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descr="3"/>
                    <pic:cNvPicPr>
                      <a:picLocks noChangeAspect="1"/>
                    </pic:cNvPicPr>
                  </pic:nvPicPr>
                  <pic:blipFill>
                    <a:blip r:embed="rId36"/>
                    <a:stretch>
                      <a:fillRect/>
                    </a:stretch>
                  </pic:blipFill>
                  <pic:spPr>
                    <a:xfrm>
                      <a:off x="0" y="0"/>
                      <a:ext cx="5952490" cy="79222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899785" cy="8031480"/>
            <wp:effectExtent l="0" t="0" r="5715" b="7620"/>
            <wp:docPr id="70" name="图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4" descr="2"/>
                    <pic:cNvPicPr>
                      <a:picLocks noChangeAspect="1"/>
                    </pic:cNvPicPr>
                  </pic:nvPicPr>
                  <pic:blipFill>
                    <a:blip r:embed="rId37"/>
                    <a:stretch>
                      <a:fillRect/>
                    </a:stretch>
                  </pic:blipFill>
                  <pic:spPr>
                    <a:xfrm>
                      <a:off x="0" y="0"/>
                      <a:ext cx="5899785" cy="8031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bookmarkStart w:id="115" w:name="_GoBack"/>
      <w:r>
        <w:drawing>
          <wp:inline distT="0" distB="0" distL="114300" distR="114300">
            <wp:extent cx="5943600" cy="7410450"/>
            <wp:effectExtent l="0" t="0" r="0" b="0"/>
            <wp:docPr id="71" name="图片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5" descr="1"/>
                    <pic:cNvPicPr>
                      <a:picLocks noChangeAspect="1"/>
                    </pic:cNvPicPr>
                  </pic:nvPicPr>
                  <pic:blipFill>
                    <a:blip r:embed="rId38"/>
                    <a:stretch>
                      <a:fillRect/>
                    </a:stretch>
                  </pic:blipFill>
                  <pic:spPr>
                    <a:xfrm>
                      <a:off x="0" y="0"/>
                      <a:ext cx="5943600" cy="7410450"/>
                    </a:xfrm>
                    <a:prstGeom prst="rect">
                      <a:avLst/>
                    </a:prstGeom>
                    <a:noFill/>
                    <a:ln>
                      <a:noFill/>
                    </a:ln>
                  </pic:spPr>
                </pic:pic>
              </a:graphicData>
            </a:graphic>
          </wp:inline>
        </w:drawing>
      </w:r>
      <w:bookmarkEnd w:id="1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 xml:space="preserve">                                                       文登创业水务有限公司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 xml:space="preserve">                                                           2018年6月2日</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A00002EF" w:usb1="4000004B" w:usb2="00000000" w:usb3="00000000" w:csb0="2000019F" w:csb1="00000000"/>
  </w:font>
  <w:font w:name="Adobe 仿宋 Std R">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17B588"/>
    <w:multiLevelType w:val="singleLevel"/>
    <w:tmpl w:val="5117B588"/>
    <w:lvl w:ilvl="0" w:tentative="0">
      <w:start w:val="2"/>
      <w:numFmt w:val="chineseCounting"/>
      <w:suff w:val="nothing"/>
      <w:lvlText w:val="%1、"/>
      <w:lvlJc w:val="left"/>
      <w:rPr>
        <w:rFonts w:hint="eastAsia"/>
      </w:rPr>
    </w:lvl>
  </w:abstractNum>
  <w:abstractNum w:abstractNumId="1">
    <w:nsid w:val="6081E517"/>
    <w:multiLevelType w:val="singleLevel"/>
    <w:tmpl w:val="6081E517"/>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C3683A"/>
    <w:rsid w:val="008120FF"/>
    <w:rsid w:val="02636326"/>
    <w:rsid w:val="033D39C3"/>
    <w:rsid w:val="094F3442"/>
    <w:rsid w:val="0BAB085E"/>
    <w:rsid w:val="1BB02B77"/>
    <w:rsid w:val="24C3683A"/>
    <w:rsid w:val="2F6B1EF0"/>
    <w:rsid w:val="3355007D"/>
    <w:rsid w:val="33D423FF"/>
    <w:rsid w:val="3C4C138D"/>
    <w:rsid w:val="3D6C16FC"/>
    <w:rsid w:val="3E75168E"/>
    <w:rsid w:val="430E0114"/>
    <w:rsid w:val="43263B66"/>
    <w:rsid w:val="4A4C1CC4"/>
    <w:rsid w:val="4FCB3252"/>
    <w:rsid w:val="502703FE"/>
    <w:rsid w:val="52DD2322"/>
    <w:rsid w:val="56894203"/>
    <w:rsid w:val="581535AA"/>
    <w:rsid w:val="690B1768"/>
    <w:rsid w:val="6F3551D0"/>
    <w:rsid w:val="73877E3C"/>
    <w:rsid w:val="77B52496"/>
    <w:rsid w:val="78827959"/>
    <w:rsid w:val="7C4B1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uiPriority w:val="0"/>
    <w:pPr>
      <w:outlineLvl w:val="0"/>
    </w:pPr>
    <w:rPr>
      <w:rFonts w:eastAsia="黑体"/>
      <w:b/>
      <w:sz w:val="28"/>
    </w:rPr>
  </w:style>
  <w:style w:type="paragraph" w:styleId="3">
    <w:name w:val="heading 2"/>
    <w:basedOn w:val="1"/>
    <w:next w:val="1"/>
    <w:uiPriority w:val="0"/>
    <w:pPr>
      <w:keepNext/>
      <w:keepLines/>
      <w:spacing w:line="360" w:lineRule="auto"/>
      <w:outlineLvl w:val="1"/>
    </w:pPr>
    <w:rPr>
      <w:rFonts w:ascii="Arial" w:hAnsi="Arial"/>
      <w:b/>
      <w:bCs/>
      <w:sz w:val="24"/>
      <w:szCs w:val="32"/>
    </w:rPr>
  </w:style>
  <w:style w:type="paragraph" w:styleId="4">
    <w:name w:val="heading 3"/>
    <w:basedOn w:val="1"/>
    <w:next w:val="1"/>
    <w:uiPriority w:val="0"/>
    <w:pPr>
      <w:keepNext/>
      <w:keepLines/>
      <w:spacing w:before="260" w:after="260" w:line="416" w:lineRule="auto"/>
      <w:outlineLvl w:val="2"/>
    </w:pPr>
    <w:rPr>
      <w:b/>
      <w:bCs/>
      <w:sz w:val="32"/>
      <w:szCs w:val="32"/>
    </w:rPr>
  </w:style>
  <w:style w:type="character" w:default="1" w:styleId="12">
    <w:name w:val="Default Paragraph Font"/>
    <w:semiHidden/>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spacing w:before="120" w:after="120"/>
      <w:jc w:val="left"/>
    </w:pPr>
    <w:rPr>
      <w:b/>
      <w:bCs/>
      <w:caps/>
      <w:sz w:val="20"/>
      <w:szCs w:val="20"/>
    </w:rPr>
  </w:style>
  <w:style w:type="paragraph" w:styleId="8">
    <w:name w:val="toc 2"/>
    <w:basedOn w:val="1"/>
    <w:next w:val="1"/>
    <w:semiHidden/>
    <w:qFormat/>
    <w:uiPriority w:val="0"/>
    <w:pPr>
      <w:ind w:left="210"/>
      <w:jc w:val="left"/>
    </w:pPr>
    <w:rPr>
      <w:smallCaps/>
      <w:sz w:val="20"/>
      <w:szCs w:val="20"/>
    </w:rPr>
  </w:style>
  <w:style w:type="paragraph" w:styleId="9">
    <w:name w:val="Normal (Web)"/>
    <w:basedOn w:val="1"/>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customStyle="1" w:styleId="15">
    <w:name w:val="列出段落1"/>
    <w:basedOn w:val="1"/>
    <w:qFormat/>
    <w:uiPriority w:val="0"/>
    <w:pPr>
      <w:ind w:firstLine="420" w:firstLineChars="200"/>
    </w:pPr>
    <w:rPr>
      <w:rFonts w:ascii="Calibri" w:hAnsi="Calibri"/>
      <w:szCs w:val="22"/>
    </w:rPr>
  </w:style>
  <w:style w:type="paragraph" w:customStyle="1" w:styleId="16">
    <w:name w:val="图表名"/>
    <w:basedOn w:val="1"/>
    <w:next w:val="1"/>
    <w:qFormat/>
    <w:uiPriority w:val="0"/>
    <w:pPr>
      <w:widowControl/>
      <w:spacing w:line="360" w:lineRule="auto"/>
      <w:jc w:val="center"/>
    </w:pPr>
    <w:rPr>
      <w:rFonts w:ascii="宋体" w:hAnsi="宋体" w:eastAsia="仿宋_GB2312" w:cs="宋体"/>
      <w:kern w:val="0"/>
      <w:sz w:val="24"/>
    </w:rPr>
  </w:style>
  <w:style w:type="paragraph" w:customStyle="1" w:styleId="17">
    <w:name w:val="表格居中"/>
    <w:basedOn w:val="1"/>
    <w:next w:val="1"/>
    <w:uiPriority w:val="0"/>
    <w:pPr>
      <w:widowControl/>
      <w:jc w:val="center"/>
    </w:pPr>
    <w:rPr>
      <w:rFonts w:ascii="宋体" w:hAnsi="宋体" w:eastAsia="仿宋_GB2312" w:cs="宋体"/>
      <w:kern w:val="0"/>
      <w:sz w:val="24"/>
    </w:rPr>
  </w:style>
  <w:style w:type="paragraph" w:customStyle="1" w:styleId="18">
    <w:name w:val="List Paragraph"/>
    <w:basedOn w:val="1"/>
    <w:qFormat/>
    <w:uiPriority w:val="0"/>
    <w:pPr>
      <w:widowControl/>
      <w:spacing w:after="200" w:line="252" w:lineRule="auto"/>
      <w:ind w:left="720"/>
      <w:contextualSpacing/>
      <w:jc w:val="left"/>
    </w:pPr>
    <w:rPr>
      <w:rFonts w:ascii="Cambria" w:hAnsi="Cambria"/>
      <w:kern w:val="0"/>
      <w:sz w:val="22"/>
      <w:szCs w:val="22"/>
      <w:lang w:eastAsia="en-US"/>
    </w:rPr>
  </w:style>
  <w:style w:type="paragraph" w:customStyle="1" w:styleId="19">
    <w:name w:val="WPSOffice手动目录 1"/>
    <w:qFormat/>
    <w:uiPriority w:val="0"/>
    <w:pPr>
      <w:ind w:leftChars="0"/>
    </w:pPr>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glossaryDocument" Target="glossary/document.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7b53e22-d2c7-43c6-9e36-8185e30016cf}"/>
        <w:style w:val=""/>
        <w:category>
          <w:name w:val="常规"/>
          <w:gallery w:val="placeholder"/>
        </w:category>
        <w:types>
          <w:type w:val="bbPlcHdr"/>
        </w:types>
        <w:behaviors>
          <w:behavior w:val="content"/>
        </w:behaviors>
        <w:description w:val=""/>
        <w:guid w:val="{47b53e22-d2c7-43c6-9e36-8185e30016cf}"/>
      </w:docPartPr>
      <w:docPartBody>
        <w:p>
          <w:r>
            <w:rPr>
              <w:color w:val="808080"/>
            </w:rPr>
            <w:t>单击此处输入文字。</w:t>
          </w:r>
        </w:p>
      </w:docPartBody>
    </w:docPart>
    <w:docPart>
      <w:docPartPr>
        <w:name w:val="{7ae93232-9559-4408-922f-604f1fbf86e2}"/>
        <w:style w:val=""/>
        <w:category>
          <w:name w:val="常规"/>
          <w:gallery w:val="placeholder"/>
        </w:category>
        <w:types>
          <w:type w:val="bbPlcHdr"/>
        </w:types>
        <w:behaviors>
          <w:behavior w:val="content"/>
        </w:behaviors>
        <w:description w:val=""/>
        <w:guid w:val="{7ae93232-9559-4408-922f-604f1fbf86e2}"/>
      </w:docPartPr>
      <w:docPartBody>
        <w:p>
          <w:r>
            <w:rPr>
              <w:color w:val="808080"/>
            </w:rPr>
            <w:t>单击此处输入文字。</w:t>
          </w:r>
        </w:p>
      </w:docPartBody>
    </w:docPart>
    <w:docPart>
      <w:docPartPr>
        <w:name w:val="{8c7e2c1f-f299-4257-b0dc-351b3f946cc8}"/>
        <w:style w:val=""/>
        <w:category>
          <w:name w:val="常规"/>
          <w:gallery w:val="placeholder"/>
        </w:category>
        <w:types>
          <w:type w:val="bbPlcHdr"/>
        </w:types>
        <w:behaviors>
          <w:behavior w:val="content"/>
        </w:behaviors>
        <w:description w:val=""/>
        <w:guid w:val="{8c7e2c1f-f299-4257-b0dc-351b3f946cc8}"/>
      </w:docPartPr>
      <w:docPartBody>
        <w:p>
          <w:r>
            <w:rPr>
              <w:color w:val="808080"/>
            </w:rPr>
            <w:t>单击此处输入文字。</w:t>
          </w:r>
        </w:p>
      </w:docPartBody>
    </w:docPart>
    <w:docPart>
      <w:docPartPr>
        <w:name w:val="{c7fa4237-1223-4ab3-9398-65efa96d9bd8}"/>
        <w:style w:val=""/>
        <w:category>
          <w:name w:val="常规"/>
          <w:gallery w:val="placeholder"/>
        </w:category>
        <w:types>
          <w:type w:val="bbPlcHdr"/>
        </w:types>
        <w:behaviors>
          <w:behavior w:val="content"/>
        </w:behaviors>
        <w:description w:val=""/>
        <w:guid w:val="{c7fa4237-1223-4ab3-9398-65efa96d9bd8}"/>
      </w:docPartPr>
      <w:docPartBody>
        <w:p>
          <w:r>
            <w:rPr>
              <w:color w:val="808080"/>
            </w:rPr>
            <w:t>单击此处输入文字。</w:t>
          </w:r>
        </w:p>
      </w:docPartBody>
    </w:docPart>
    <w:docPart>
      <w:docPartPr>
        <w:name w:val="{abf160ff-b984-4307-9717-b0ab1ea86a8b}"/>
        <w:style w:val=""/>
        <w:category>
          <w:name w:val="常规"/>
          <w:gallery w:val="placeholder"/>
        </w:category>
        <w:types>
          <w:type w:val="bbPlcHdr"/>
        </w:types>
        <w:behaviors>
          <w:behavior w:val="content"/>
        </w:behaviors>
        <w:description w:val=""/>
        <w:guid w:val="{abf160ff-b984-4307-9717-b0ab1ea86a8b}"/>
      </w:docPartPr>
      <w:docPartBody>
        <w:p>
          <w:r>
            <w:rPr>
              <w:color w:val="808080"/>
            </w:rPr>
            <w:t>单击此处输入文字。</w:t>
          </w:r>
        </w:p>
      </w:docPartBody>
    </w:docPart>
    <w:docPart>
      <w:docPartPr>
        <w:name w:val="{a23b508e-e6a1-4786-bf92-84e144bb959f}"/>
        <w:style w:val=""/>
        <w:category>
          <w:name w:val="常规"/>
          <w:gallery w:val="placeholder"/>
        </w:category>
        <w:types>
          <w:type w:val="bbPlcHdr"/>
        </w:types>
        <w:behaviors>
          <w:behavior w:val="content"/>
        </w:behaviors>
        <w:description w:val=""/>
        <w:guid w:val="{a23b508e-e6a1-4786-bf92-84e144bb959f}"/>
      </w:docPartPr>
      <w:docPartBody>
        <w:p>
          <w:r>
            <w:rPr>
              <w:color w:val="808080"/>
            </w:rPr>
            <w:t>单击此处输入文字。</w:t>
          </w:r>
        </w:p>
      </w:docPartBody>
    </w:docPart>
    <w:docPart>
      <w:docPartPr>
        <w:name w:val="{73ee7b14-f328-4b74-bdb0-462dee376cd0}"/>
        <w:style w:val=""/>
        <w:category>
          <w:name w:val="常规"/>
          <w:gallery w:val="placeholder"/>
        </w:category>
        <w:types>
          <w:type w:val="bbPlcHdr"/>
        </w:types>
        <w:behaviors>
          <w:behavior w:val="content"/>
        </w:behaviors>
        <w:description w:val=""/>
        <w:guid w:val="{73ee7b14-f328-4b74-bdb0-462dee376cd0}"/>
      </w:docPartPr>
      <w:docPartBody>
        <w:p>
          <w:r>
            <w:rPr>
              <w:color w:val="808080"/>
            </w:rPr>
            <w:t>单击此处输入文字。</w:t>
          </w:r>
        </w:p>
      </w:docPartBody>
    </w:docPart>
    <w:docPart>
      <w:docPartPr>
        <w:name w:val="{44ffbade-e959-4498-aa01-d403c73f5e38}"/>
        <w:style w:val=""/>
        <w:category>
          <w:name w:val="常规"/>
          <w:gallery w:val="placeholder"/>
        </w:category>
        <w:types>
          <w:type w:val="bbPlcHdr"/>
        </w:types>
        <w:behaviors>
          <w:behavior w:val="content"/>
        </w:behaviors>
        <w:description w:val=""/>
        <w:guid w:val="{44ffbade-e959-4498-aa01-d403c73f5e38}"/>
      </w:docPartPr>
      <w:docPartBody>
        <w:p>
          <w:r>
            <w:rPr>
              <w:color w:val="808080"/>
            </w:rPr>
            <w:t>单击此处输入文字。</w:t>
          </w:r>
        </w:p>
      </w:docPartBody>
    </w:docPart>
    <w:docPart>
      <w:docPartPr>
        <w:name w:val="{1d542b35-928b-4906-8e60-51719ddcfd1f}"/>
        <w:style w:val=""/>
        <w:category>
          <w:name w:val="常规"/>
          <w:gallery w:val="placeholder"/>
        </w:category>
        <w:types>
          <w:type w:val="bbPlcHdr"/>
        </w:types>
        <w:behaviors>
          <w:behavior w:val="content"/>
        </w:behaviors>
        <w:description w:val=""/>
        <w:guid w:val="{1d542b35-928b-4906-8e60-51719ddcfd1f}"/>
      </w:docPartPr>
      <w:docPartBody>
        <w:p>
          <w:r>
            <w:rPr>
              <w:color w:val="808080"/>
            </w:rPr>
            <w:t>单击此处输入文字。</w:t>
          </w:r>
        </w:p>
      </w:docPartBody>
    </w:docPart>
    <w:docPart>
      <w:docPartPr>
        <w:name w:val="{b511efd5-04a7-4880-aacd-a8a07343f7a4}"/>
        <w:style w:val=""/>
        <w:category>
          <w:name w:val="常规"/>
          <w:gallery w:val="placeholder"/>
        </w:category>
        <w:types>
          <w:type w:val="bbPlcHdr"/>
        </w:types>
        <w:behaviors>
          <w:behavior w:val="content"/>
        </w:behaviors>
        <w:description w:val=""/>
        <w:guid w:val="{b511efd5-04a7-4880-aacd-a8a07343f7a4}"/>
      </w:docPartPr>
      <w:docPartBody>
        <w:p>
          <w:r>
            <w:rPr>
              <w:color w:val="808080"/>
            </w:rPr>
            <w:t>单击此处输入文字。</w:t>
          </w:r>
        </w:p>
      </w:docPartBody>
    </w:docPart>
    <w:docPart>
      <w:docPartPr>
        <w:name w:val="{a3075dd6-8080-49a5-9bc3-51ef19083f47}"/>
        <w:style w:val=""/>
        <w:category>
          <w:name w:val="常规"/>
          <w:gallery w:val="placeholder"/>
        </w:category>
        <w:types>
          <w:type w:val="bbPlcHdr"/>
        </w:types>
        <w:behaviors>
          <w:behavior w:val="content"/>
        </w:behaviors>
        <w:description w:val=""/>
        <w:guid w:val="{a3075dd6-8080-49a5-9bc3-51ef19083f47}"/>
      </w:docPartPr>
      <w:docPartBody>
        <w:p>
          <w:r>
            <w:rPr>
              <w:color w:val="808080"/>
            </w:rPr>
            <w:t>单击此处输入文字。</w:t>
          </w:r>
        </w:p>
      </w:docPartBody>
    </w:docPart>
    <w:docPart>
      <w:docPartPr>
        <w:name w:val="{aaf5b551-c4c0-42b6-9ed8-ad2c03d49ff9}"/>
        <w:style w:val=""/>
        <w:category>
          <w:name w:val="常规"/>
          <w:gallery w:val="placeholder"/>
        </w:category>
        <w:types>
          <w:type w:val="bbPlcHdr"/>
        </w:types>
        <w:behaviors>
          <w:behavior w:val="content"/>
        </w:behaviors>
        <w:description w:val=""/>
        <w:guid w:val="{aaf5b551-c4c0-42b6-9ed8-ad2c03d49ff9}"/>
      </w:docPartPr>
      <w:docPartBody>
        <w:p>
          <w:r>
            <w:rPr>
              <w:color w:val="808080"/>
            </w:rPr>
            <w:t>单击此处输入文字。</w:t>
          </w:r>
        </w:p>
      </w:docPartBody>
    </w:docPart>
    <w:docPart>
      <w:docPartPr>
        <w:name w:val="{d4a88833-6221-492c-9ff0-2d1302a4751e}"/>
        <w:style w:val=""/>
        <w:category>
          <w:name w:val="常规"/>
          <w:gallery w:val="placeholder"/>
        </w:category>
        <w:types>
          <w:type w:val="bbPlcHdr"/>
        </w:types>
        <w:behaviors>
          <w:behavior w:val="content"/>
        </w:behaviors>
        <w:description w:val=""/>
        <w:guid w:val="{d4a88833-6221-492c-9ff0-2d1302a4751e}"/>
      </w:docPartPr>
      <w:docPartBody>
        <w:p>
          <w:r>
            <w:rPr>
              <w:color w:val="808080"/>
            </w:rPr>
            <w:t>单击此处输入文字。</w:t>
          </w:r>
        </w:p>
      </w:docPartBody>
    </w:docPart>
    <w:docPart>
      <w:docPartPr>
        <w:name w:val="{5378bf0d-15fc-4e7e-a1ac-30143f969050}"/>
        <w:style w:val=""/>
        <w:category>
          <w:name w:val="常规"/>
          <w:gallery w:val="placeholder"/>
        </w:category>
        <w:types>
          <w:type w:val="bbPlcHdr"/>
        </w:types>
        <w:behaviors>
          <w:behavior w:val="content"/>
        </w:behaviors>
        <w:description w:val=""/>
        <w:guid w:val="{5378bf0d-15fc-4e7e-a1ac-30143f969050}"/>
      </w:docPartPr>
      <w:docPartBody>
        <w:p>
          <w:r>
            <w:rPr>
              <w:color w:val="808080"/>
            </w:rPr>
            <w:t>单击此处输入文字。</w:t>
          </w:r>
        </w:p>
      </w:docPartBody>
    </w:docPart>
    <w:docPart>
      <w:docPartPr>
        <w:name w:val="{a7b6dccf-ef08-4fb9-ada9-fb17c5da48b9}"/>
        <w:style w:val=""/>
        <w:category>
          <w:name w:val="常规"/>
          <w:gallery w:val="placeholder"/>
        </w:category>
        <w:types>
          <w:type w:val="bbPlcHdr"/>
        </w:types>
        <w:behaviors>
          <w:behavior w:val="content"/>
        </w:behaviors>
        <w:description w:val=""/>
        <w:guid w:val="{a7b6dccf-ef08-4fb9-ada9-fb17c5da48b9}"/>
      </w:docPartPr>
      <w:docPartBody>
        <w:p>
          <w:r>
            <w:rPr>
              <w:color w:val="808080"/>
            </w:rPr>
            <w:t>单击此处输入文字。</w:t>
          </w:r>
        </w:p>
      </w:docPartBody>
    </w:docPart>
    <w:docPart>
      <w:docPartPr>
        <w:name w:val="{70573c64-d21a-40f4-8189-80ece3f2495b}"/>
        <w:style w:val=""/>
        <w:category>
          <w:name w:val="常规"/>
          <w:gallery w:val="placeholder"/>
        </w:category>
        <w:types>
          <w:type w:val="bbPlcHdr"/>
        </w:types>
        <w:behaviors>
          <w:behavior w:val="content"/>
        </w:behaviors>
        <w:description w:val=""/>
        <w:guid w:val="{70573c64-d21a-40f4-8189-80ece3f2495b}"/>
      </w:docPartPr>
      <w:docPartBody>
        <w:p>
          <w:r>
            <w:rPr>
              <w:color w:val="808080"/>
            </w:rPr>
            <w:t>单击此处输入文字。</w:t>
          </w:r>
        </w:p>
      </w:docPartBody>
    </w:docPart>
    <w:docPart>
      <w:docPartPr>
        <w:name w:val="{85292a46-4e40-434b-8848-52d6fce46641}"/>
        <w:style w:val=""/>
        <w:category>
          <w:name w:val="常规"/>
          <w:gallery w:val="placeholder"/>
        </w:category>
        <w:types>
          <w:type w:val="bbPlcHdr"/>
        </w:types>
        <w:behaviors>
          <w:behavior w:val="content"/>
        </w:behaviors>
        <w:description w:val=""/>
        <w:guid w:val="{85292a46-4e40-434b-8848-52d6fce46641}"/>
      </w:docPartPr>
      <w:docPartBody>
        <w:p>
          <w:r>
            <w:rPr>
              <w:color w:val="808080"/>
            </w:rPr>
            <w:t>单击此处输入文字。</w:t>
          </w:r>
        </w:p>
      </w:docPartBody>
    </w:docPart>
    <w:docPart>
      <w:docPartPr>
        <w:name w:val="{a8067e8e-60a1-4af2-b214-40b947e15bb4}"/>
        <w:style w:val=""/>
        <w:category>
          <w:name w:val="常规"/>
          <w:gallery w:val="placeholder"/>
        </w:category>
        <w:types>
          <w:type w:val="bbPlcHdr"/>
        </w:types>
        <w:behaviors>
          <w:behavior w:val="content"/>
        </w:behaviors>
        <w:description w:val=""/>
        <w:guid w:val="{a8067e8e-60a1-4af2-b214-40b947e15bb4}"/>
      </w:docPartPr>
      <w:docPartBody>
        <w:p>
          <w:r>
            <w:rPr>
              <w:color w:val="808080"/>
            </w:rPr>
            <w:t>单击此处输入文字。</w:t>
          </w:r>
        </w:p>
      </w:docPartBody>
    </w:docPart>
    <w:docPart>
      <w:docPartPr>
        <w:name w:val="{2eb3825b-f283-44d2-b12c-41434538f382}"/>
        <w:style w:val=""/>
        <w:category>
          <w:name w:val="常规"/>
          <w:gallery w:val="placeholder"/>
        </w:category>
        <w:types>
          <w:type w:val="bbPlcHdr"/>
        </w:types>
        <w:behaviors>
          <w:behavior w:val="content"/>
        </w:behaviors>
        <w:description w:val=""/>
        <w:guid w:val="{2eb3825b-f283-44d2-b12c-41434538f382}"/>
      </w:docPartPr>
      <w:docPartBody>
        <w:p>
          <w:r>
            <w:rPr>
              <w:color w:val="808080"/>
            </w:rPr>
            <w:t>单击此处输入文字。</w:t>
          </w:r>
        </w:p>
      </w:docPartBody>
    </w:docPart>
    <w:docPart>
      <w:docPartPr>
        <w:name w:val="{c6f44d06-132c-499c-87a5-eb484cfd8808}"/>
        <w:style w:val=""/>
        <w:category>
          <w:name w:val="常规"/>
          <w:gallery w:val="placeholder"/>
        </w:category>
        <w:types>
          <w:type w:val="bbPlcHdr"/>
        </w:types>
        <w:behaviors>
          <w:behavior w:val="content"/>
        </w:behaviors>
        <w:description w:val=""/>
        <w:guid w:val="{c6f44d06-132c-499c-87a5-eb484cfd8808}"/>
      </w:docPartPr>
      <w:docPartBody>
        <w:p>
          <w:r>
            <w:rPr>
              <w:color w:val="808080"/>
            </w:rPr>
            <w:t>单击此处输入文字。</w:t>
          </w:r>
        </w:p>
      </w:docPartBody>
    </w:docPart>
    <w:docPart>
      <w:docPartPr>
        <w:name w:val="{601a7548-25cf-4f0e-bc0c-5bdfeddaf939}"/>
        <w:style w:val=""/>
        <w:category>
          <w:name w:val="常规"/>
          <w:gallery w:val="placeholder"/>
        </w:category>
        <w:types>
          <w:type w:val="bbPlcHdr"/>
        </w:types>
        <w:behaviors>
          <w:behavior w:val="content"/>
        </w:behaviors>
        <w:description w:val=""/>
        <w:guid w:val="{601a7548-25cf-4f0e-bc0c-5bdfeddaf939}"/>
      </w:docPartPr>
      <w:docPartBody>
        <w:p>
          <w:r>
            <w:rPr>
              <w:color w:val="808080"/>
            </w:rPr>
            <w:t>单击此处输入文字。</w:t>
          </w:r>
        </w:p>
      </w:docPartBody>
    </w:docPart>
    <w:docPart>
      <w:docPartPr>
        <w:name w:val="{2f6bedf7-68a8-4d12-8eab-e14c77fbcf35}"/>
        <w:style w:val=""/>
        <w:category>
          <w:name w:val="常规"/>
          <w:gallery w:val="placeholder"/>
        </w:category>
        <w:types>
          <w:type w:val="bbPlcHdr"/>
        </w:types>
        <w:behaviors>
          <w:behavior w:val="content"/>
        </w:behaviors>
        <w:description w:val=""/>
        <w:guid w:val="{2f6bedf7-68a8-4d12-8eab-e14c77fbcf35}"/>
      </w:docPartPr>
      <w:docPartBody>
        <w:p>
          <w:r>
            <w:rPr>
              <w:color w:val="808080"/>
            </w:rPr>
            <w:t>单击此处输入文字。</w:t>
          </w:r>
        </w:p>
      </w:docPartBody>
    </w:docPart>
    <w:docPart>
      <w:docPartPr>
        <w:name w:val="{d1090738-8e8f-4cd8-824e-087e09876d63}"/>
        <w:style w:val=""/>
        <w:category>
          <w:name w:val="常规"/>
          <w:gallery w:val="placeholder"/>
        </w:category>
        <w:types>
          <w:type w:val="bbPlcHdr"/>
        </w:types>
        <w:behaviors>
          <w:behavior w:val="content"/>
        </w:behaviors>
        <w:description w:val=""/>
        <w:guid w:val="{d1090738-8e8f-4cd8-824e-087e09876d63}"/>
      </w:docPartPr>
      <w:docPartBody>
        <w:p>
          <w:r>
            <w:rPr>
              <w:color w:val="808080"/>
            </w:rPr>
            <w:t>单击此处输入文字。</w:t>
          </w:r>
        </w:p>
      </w:docPartBody>
    </w:docPart>
    <w:docPart>
      <w:docPartPr>
        <w:name w:val="{429b4035-5fb6-49ff-b321-2ad9abc5335c}"/>
        <w:style w:val=""/>
        <w:category>
          <w:name w:val="常规"/>
          <w:gallery w:val="placeholder"/>
        </w:category>
        <w:types>
          <w:type w:val="bbPlcHdr"/>
        </w:types>
        <w:behaviors>
          <w:behavior w:val="content"/>
        </w:behaviors>
        <w:description w:val=""/>
        <w:guid w:val="{429b4035-5fb6-49ff-b321-2ad9abc5335c}"/>
      </w:docPartPr>
      <w:docPartBody>
        <w:p>
          <w:r>
            <w:rPr>
              <w:color w:val="808080"/>
            </w:rPr>
            <w:t>单击此处输入文字。</w:t>
          </w:r>
        </w:p>
      </w:docPartBody>
    </w:docPart>
    <w:docPart>
      <w:docPartPr>
        <w:name w:val="{d874762e-683c-4dae-a273-1c24083e5403}"/>
        <w:style w:val=""/>
        <w:category>
          <w:name w:val="常规"/>
          <w:gallery w:val="placeholder"/>
        </w:category>
        <w:types>
          <w:type w:val="bbPlcHdr"/>
        </w:types>
        <w:behaviors>
          <w:behavior w:val="content"/>
        </w:behaviors>
        <w:description w:val=""/>
        <w:guid w:val="{d874762e-683c-4dae-a273-1c24083e5403}"/>
      </w:docPartPr>
      <w:docPartBody>
        <w:p>
          <w:r>
            <w:rPr>
              <w:color w:val="808080"/>
            </w:rPr>
            <w:t>单击此处输入文字。</w:t>
          </w:r>
        </w:p>
      </w:docPartBody>
    </w:docPart>
    <w:docPart>
      <w:docPartPr>
        <w:name w:val="{d90f66c7-660e-49df-8124-edc719e1d1c4}"/>
        <w:style w:val=""/>
        <w:category>
          <w:name w:val="常规"/>
          <w:gallery w:val="placeholder"/>
        </w:category>
        <w:types>
          <w:type w:val="bbPlcHdr"/>
        </w:types>
        <w:behaviors>
          <w:behavior w:val="content"/>
        </w:behaviors>
        <w:description w:val=""/>
        <w:guid w:val="{d90f66c7-660e-49df-8124-edc719e1d1c4}"/>
      </w:docPartPr>
      <w:docPartBody>
        <w:p>
          <w:r>
            <w:rPr>
              <w:color w:val="808080"/>
            </w:rPr>
            <w:t>单击此处输入文字。</w:t>
          </w:r>
        </w:p>
      </w:docPartBody>
    </w:docPart>
    <w:docPart>
      <w:docPartPr>
        <w:name w:val="{5338ea4d-a730-4a3c-a4ef-d0028b275305}"/>
        <w:style w:val=""/>
        <w:category>
          <w:name w:val="常规"/>
          <w:gallery w:val="placeholder"/>
        </w:category>
        <w:types>
          <w:type w:val="bbPlcHdr"/>
        </w:types>
        <w:behaviors>
          <w:behavior w:val="content"/>
        </w:behaviors>
        <w:description w:val=""/>
        <w:guid w:val="{5338ea4d-a730-4a3c-a4ef-d0028b275305}"/>
      </w:docPartPr>
      <w:docPartBody>
        <w:p>
          <w:r>
            <w:rPr>
              <w:color w:val="808080"/>
            </w:rPr>
            <w:t>单击此处输入文字。</w:t>
          </w:r>
        </w:p>
      </w:docPartBody>
    </w:docPart>
    <w:docPart>
      <w:docPartPr>
        <w:name w:val="{79fc8b54-a754-4aef-93b2-c6e2a0e3e38b}"/>
        <w:style w:val=""/>
        <w:category>
          <w:name w:val="常规"/>
          <w:gallery w:val="placeholder"/>
        </w:category>
        <w:types>
          <w:type w:val="bbPlcHdr"/>
        </w:types>
        <w:behaviors>
          <w:behavior w:val="content"/>
        </w:behaviors>
        <w:description w:val=""/>
        <w:guid w:val="{79fc8b54-a754-4aef-93b2-c6e2a0e3e38b}"/>
      </w:docPartPr>
      <w:docPartBody>
        <w:p>
          <w:r>
            <w:rPr>
              <w:color w:val="808080"/>
            </w:rPr>
            <w:t>单击此处输入文字。</w:t>
          </w:r>
        </w:p>
      </w:docPartBody>
    </w:docPart>
    <w:docPart>
      <w:docPartPr>
        <w:name w:val="{e8beb7eb-f1fb-4e4a-8f1a-3a2f21e83398}"/>
        <w:style w:val=""/>
        <w:category>
          <w:name w:val="常规"/>
          <w:gallery w:val="placeholder"/>
        </w:category>
        <w:types>
          <w:type w:val="bbPlcHdr"/>
        </w:types>
        <w:behaviors>
          <w:behavior w:val="content"/>
        </w:behaviors>
        <w:description w:val=""/>
        <w:guid w:val="{e8beb7eb-f1fb-4e4a-8f1a-3a2f21e83398}"/>
      </w:docPartPr>
      <w:docPartBody>
        <w:p>
          <w:r>
            <w:rPr>
              <w:color w:val="808080"/>
            </w:rPr>
            <w:t>单击此处输入文字。</w:t>
          </w:r>
        </w:p>
      </w:docPartBody>
    </w:docPart>
    <w:docPart>
      <w:docPartPr>
        <w:name w:val="{3338dbf3-e0a1-48a0-a859-f87829fa7828}"/>
        <w:style w:val=""/>
        <w:category>
          <w:name w:val="常规"/>
          <w:gallery w:val="placeholder"/>
        </w:category>
        <w:types>
          <w:type w:val="bbPlcHdr"/>
        </w:types>
        <w:behaviors>
          <w:behavior w:val="content"/>
        </w:behaviors>
        <w:description w:val=""/>
        <w:guid w:val="{3338dbf3-e0a1-48a0-a859-f87829fa7828}"/>
      </w:docPartPr>
      <w:docPartBody>
        <w:p>
          <w:r>
            <w:rPr>
              <w:color w:val="808080"/>
            </w:rPr>
            <w:t>单击此处输入文字。</w:t>
          </w:r>
        </w:p>
      </w:docPartBody>
    </w:docPart>
    <w:docPart>
      <w:docPartPr>
        <w:name w:val="{f1076671-2462-45b6-ba4c-294671caed9c}"/>
        <w:style w:val=""/>
        <w:category>
          <w:name w:val="常规"/>
          <w:gallery w:val="placeholder"/>
        </w:category>
        <w:types>
          <w:type w:val="bbPlcHdr"/>
        </w:types>
        <w:behaviors>
          <w:behavior w:val="content"/>
        </w:behaviors>
        <w:description w:val=""/>
        <w:guid w:val="{f1076671-2462-45b6-ba4c-294671caed9c}"/>
      </w:docPartPr>
      <w:docPartBody>
        <w:p>
          <w:r>
            <w:rPr>
              <w:color w:val="808080"/>
            </w:rPr>
            <w:t>单击此处输入文字。</w:t>
          </w:r>
        </w:p>
      </w:docPartBody>
    </w:docPart>
    <w:docPart>
      <w:docPartPr>
        <w:name w:val="{8d74b58f-a94d-43ef-b6b6-de1f6160bc17}"/>
        <w:style w:val=""/>
        <w:category>
          <w:name w:val="常规"/>
          <w:gallery w:val="placeholder"/>
        </w:category>
        <w:types>
          <w:type w:val="bbPlcHdr"/>
        </w:types>
        <w:behaviors>
          <w:behavior w:val="content"/>
        </w:behaviors>
        <w:description w:val=""/>
        <w:guid w:val="{8d74b58f-a94d-43ef-b6b6-de1f6160bc17}"/>
      </w:docPartPr>
      <w:docPartBody>
        <w:p>
          <w:r>
            <w:rPr>
              <w:color w:val="808080"/>
            </w:rPr>
            <w:t>单击此处输入文字。</w:t>
          </w:r>
        </w:p>
      </w:docPartBody>
    </w:docPart>
    <w:docPart>
      <w:docPartPr>
        <w:name w:val="{ab603269-dec3-4d99-badd-c3c9ead24313}"/>
        <w:style w:val=""/>
        <w:category>
          <w:name w:val="常规"/>
          <w:gallery w:val="placeholder"/>
        </w:category>
        <w:types>
          <w:type w:val="bbPlcHdr"/>
        </w:types>
        <w:behaviors>
          <w:behavior w:val="content"/>
        </w:behaviors>
        <w:description w:val=""/>
        <w:guid w:val="{ab603269-dec3-4d99-badd-c3c9ead24313}"/>
      </w:docPartPr>
      <w:docPartBody>
        <w:p>
          <w:r>
            <w:rPr>
              <w:color w:val="808080"/>
            </w:rPr>
            <w:t>单击此处输入文字。</w:t>
          </w:r>
        </w:p>
      </w:docPartBody>
    </w:docPart>
    <w:docPart>
      <w:docPartPr>
        <w:name w:val="{44daad74-ace4-49c2-bd9f-7f8f99592044}"/>
        <w:style w:val=""/>
        <w:category>
          <w:name w:val="常规"/>
          <w:gallery w:val="placeholder"/>
        </w:category>
        <w:types>
          <w:type w:val="bbPlcHdr"/>
        </w:types>
        <w:behaviors>
          <w:behavior w:val="content"/>
        </w:behaviors>
        <w:description w:val=""/>
        <w:guid w:val="{44daad74-ace4-49c2-bd9f-7f8f99592044}"/>
      </w:docPartPr>
      <w:docPartBody>
        <w:p>
          <w:r>
            <w:rPr>
              <w:color w:val="808080"/>
            </w:rPr>
            <w:t>单击此处输入文字。</w:t>
          </w:r>
        </w:p>
      </w:docPartBody>
    </w:docPart>
    <w:docPart>
      <w:docPartPr>
        <w:name w:val="{ec1b59a9-66bb-4e69-8fe8-fc767c921d2c}"/>
        <w:style w:val=""/>
        <w:category>
          <w:name w:val="常规"/>
          <w:gallery w:val="placeholder"/>
        </w:category>
        <w:types>
          <w:type w:val="bbPlcHdr"/>
        </w:types>
        <w:behaviors>
          <w:behavior w:val="content"/>
        </w:behaviors>
        <w:description w:val=""/>
        <w:guid w:val="{ec1b59a9-66bb-4e69-8fe8-fc767c921d2c}"/>
      </w:docPartPr>
      <w:docPartBody>
        <w:p>
          <w:r>
            <w:rPr>
              <w:color w:val="808080"/>
            </w:rPr>
            <w:t>单击此处输入文字。</w:t>
          </w:r>
        </w:p>
      </w:docPartBody>
    </w:docPart>
    <w:docPart>
      <w:docPartPr>
        <w:name w:val="{59ecfe12-5f25-4290-ab40-4409a832e4e7}"/>
        <w:style w:val=""/>
        <w:category>
          <w:name w:val="常规"/>
          <w:gallery w:val="placeholder"/>
        </w:category>
        <w:types>
          <w:type w:val="bbPlcHdr"/>
        </w:types>
        <w:behaviors>
          <w:behavior w:val="content"/>
        </w:behaviors>
        <w:description w:val=""/>
        <w:guid w:val="{59ecfe12-5f25-4290-ab40-4409a832e4e7}"/>
      </w:docPartPr>
      <w:docPartBody>
        <w:p>
          <w:r>
            <w:rPr>
              <w:color w:val="808080"/>
            </w:rPr>
            <w:t>单击此处输入文字。</w:t>
          </w:r>
        </w:p>
      </w:docPartBody>
    </w:docPart>
    <w:docPart>
      <w:docPartPr>
        <w:name w:val="{3770ca14-116b-4ab9-95a2-1cae1fadf5b3}"/>
        <w:style w:val=""/>
        <w:category>
          <w:name w:val="常规"/>
          <w:gallery w:val="placeholder"/>
        </w:category>
        <w:types>
          <w:type w:val="bbPlcHdr"/>
        </w:types>
        <w:behaviors>
          <w:behavior w:val="content"/>
        </w:behaviors>
        <w:description w:val=""/>
        <w:guid w:val="{3770ca14-116b-4ab9-95a2-1cae1fadf5b3}"/>
      </w:docPartPr>
      <w:docPartBody>
        <w:p>
          <w:r>
            <w:rPr>
              <w:color w:val="808080"/>
            </w:rPr>
            <w:t>单击此处输入文字。</w:t>
          </w:r>
        </w:p>
      </w:docPartBody>
    </w:docPart>
    <w:docPart>
      <w:docPartPr>
        <w:name w:val="{2375d8f9-0d02-4455-80ed-fd0eba3f82a3}"/>
        <w:style w:val=""/>
        <w:category>
          <w:name w:val="常规"/>
          <w:gallery w:val="placeholder"/>
        </w:category>
        <w:types>
          <w:type w:val="bbPlcHdr"/>
        </w:types>
        <w:behaviors>
          <w:behavior w:val="content"/>
        </w:behaviors>
        <w:description w:val=""/>
        <w:guid w:val="{2375d8f9-0d02-4455-80ed-fd0eba3f82a3}"/>
      </w:docPartPr>
      <w:docPartBody>
        <w:p>
          <w:r>
            <w:rPr>
              <w:color w:val="808080"/>
            </w:rPr>
            <w:t>单击此处输入文字。</w:t>
          </w:r>
        </w:p>
      </w:docPartBody>
    </w:docPart>
    <w:docPart>
      <w:docPartPr>
        <w:name w:val="{1b99cf4c-76a4-439f-9079-827e001ec8f2}"/>
        <w:style w:val=""/>
        <w:category>
          <w:name w:val="常规"/>
          <w:gallery w:val="placeholder"/>
        </w:category>
        <w:types>
          <w:type w:val="bbPlcHdr"/>
        </w:types>
        <w:behaviors>
          <w:behavior w:val="content"/>
        </w:behaviors>
        <w:description w:val=""/>
        <w:guid w:val="{1b99cf4c-76a4-439f-9079-827e001ec8f2}"/>
      </w:docPartPr>
      <w:docPartBody>
        <w:p>
          <w:r>
            <w:rPr>
              <w:color w:val="808080"/>
            </w:rPr>
            <w:t>单击此处输入文字。</w:t>
          </w:r>
        </w:p>
      </w:docPartBody>
    </w:docPart>
    <w:docPart>
      <w:docPartPr>
        <w:name w:val="{a1932cc6-ea36-48f7-b8e6-6bec7d3f1cd2}"/>
        <w:style w:val=""/>
        <w:category>
          <w:name w:val="常规"/>
          <w:gallery w:val="placeholder"/>
        </w:category>
        <w:types>
          <w:type w:val="bbPlcHdr"/>
        </w:types>
        <w:behaviors>
          <w:behavior w:val="content"/>
        </w:behaviors>
        <w:description w:val=""/>
        <w:guid w:val="{a1932cc6-ea36-48f7-b8e6-6bec7d3f1cd2}"/>
      </w:docPartPr>
      <w:docPartBody>
        <w:p>
          <w:r>
            <w:rPr>
              <w:color w:val="808080"/>
            </w:rPr>
            <w:t>单击此处输入文字。</w:t>
          </w:r>
        </w:p>
      </w:docPartBody>
    </w:docPart>
    <w:docPart>
      <w:docPartPr>
        <w:name w:val="{9748e850-98b2-4e4f-b111-fceeb25c07fa}"/>
        <w:style w:val=""/>
        <w:category>
          <w:name w:val="常规"/>
          <w:gallery w:val="placeholder"/>
        </w:category>
        <w:types>
          <w:type w:val="bbPlcHdr"/>
        </w:types>
        <w:behaviors>
          <w:behavior w:val="content"/>
        </w:behaviors>
        <w:description w:val=""/>
        <w:guid w:val="{9748e850-98b2-4e4f-b111-fceeb25c07fa}"/>
      </w:docPartPr>
      <w:docPartBody>
        <w:p>
          <w:r>
            <w:rPr>
              <w:color w:val="808080"/>
            </w:rPr>
            <w:t>单击此处输入文字。</w:t>
          </w:r>
        </w:p>
      </w:docPartBody>
    </w:docPart>
    <w:docPart>
      <w:docPartPr>
        <w:name w:val="{5f2e2068-d6d2-4942-a8dc-fd23823c0548}"/>
        <w:style w:val=""/>
        <w:category>
          <w:name w:val="常规"/>
          <w:gallery w:val="placeholder"/>
        </w:category>
        <w:types>
          <w:type w:val="bbPlcHdr"/>
        </w:types>
        <w:behaviors>
          <w:behavior w:val="content"/>
        </w:behaviors>
        <w:description w:val=""/>
        <w:guid w:val="{5f2e2068-d6d2-4942-a8dc-fd23823c0548}"/>
      </w:docPartPr>
      <w:docPartBody>
        <w:p>
          <w:r>
            <w:rPr>
              <w:color w:val="808080"/>
            </w:rPr>
            <w:t>单击此处输入文字。</w:t>
          </w:r>
        </w:p>
      </w:docPartBody>
    </w:docPart>
    <w:docPart>
      <w:docPartPr>
        <w:name w:val="{cd56cb1b-9bcc-4671-ad4e-97fdf6864395}"/>
        <w:style w:val=""/>
        <w:category>
          <w:name w:val="常规"/>
          <w:gallery w:val="placeholder"/>
        </w:category>
        <w:types>
          <w:type w:val="bbPlcHdr"/>
        </w:types>
        <w:behaviors>
          <w:behavior w:val="content"/>
        </w:behaviors>
        <w:description w:val=""/>
        <w:guid w:val="{cd56cb1b-9bcc-4671-ad4e-97fdf6864395}"/>
      </w:docPartPr>
      <w:docPartBody>
        <w:p>
          <w:r>
            <w:rPr>
              <w:color w:val="808080"/>
            </w:rPr>
            <w:t>单击此处输入文字。</w:t>
          </w:r>
        </w:p>
      </w:docPartBody>
    </w:docPart>
    <w:docPart>
      <w:docPartPr>
        <w:name w:val="{477b8959-cb80-4736-9506-eb6087afef8e}"/>
        <w:style w:val=""/>
        <w:category>
          <w:name w:val="常规"/>
          <w:gallery w:val="placeholder"/>
        </w:category>
        <w:types>
          <w:type w:val="bbPlcHdr"/>
        </w:types>
        <w:behaviors>
          <w:behavior w:val="content"/>
        </w:behaviors>
        <w:description w:val=""/>
        <w:guid w:val="{477b8959-cb80-4736-9506-eb6087afef8e}"/>
      </w:docPartPr>
      <w:docPartBody>
        <w:p>
          <w:r>
            <w:rPr>
              <w:color w:val="808080"/>
            </w:rPr>
            <w:t>单击此处输入文字。</w:t>
          </w:r>
        </w:p>
      </w:docPartBody>
    </w:docPart>
    <w:docPart>
      <w:docPartPr>
        <w:name w:val="{b262e21d-dba7-48f0-a5da-aacb06a0dc01}"/>
        <w:style w:val=""/>
        <w:category>
          <w:name w:val="常规"/>
          <w:gallery w:val="placeholder"/>
        </w:category>
        <w:types>
          <w:type w:val="bbPlcHdr"/>
        </w:types>
        <w:behaviors>
          <w:behavior w:val="content"/>
        </w:behaviors>
        <w:description w:val=""/>
        <w:guid w:val="{b262e21d-dba7-48f0-a5da-aacb06a0dc01}"/>
      </w:docPartPr>
      <w:docPartBody>
        <w:p>
          <w:r>
            <w:rPr>
              <w:color w:val="808080"/>
            </w:rPr>
            <w:t>单击此处输入文字。</w:t>
          </w:r>
        </w:p>
      </w:docPartBody>
    </w:docPart>
    <w:docPart>
      <w:docPartPr>
        <w:name w:val="{35e0e694-fe63-4b56-9cbc-60f22ab0bac8}"/>
        <w:style w:val=""/>
        <w:category>
          <w:name w:val="常规"/>
          <w:gallery w:val="placeholder"/>
        </w:category>
        <w:types>
          <w:type w:val="bbPlcHdr"/>
        </w:types>
        <w:behaviors>
          <w:behavior w:val="content"/>
        </w:behaviors>
        <w:description w:val=""/>
        <w:guid w:val="{35e0e694-fe63-4b56-9cbc-60f22ab0bac8}"/>
      </w:docPartPr>
      <w:docPartBody>
        <w:p>
          <w:r>
            <w:rPr>
              <w:color w:val="808080"/>
            </w:rPr>
            <w:t>单击此处输入文字。</w:t>
          </w:r>
        </w:p>
      </w:docPartBody>
    </w:docPart>
    <w:docPart>
      <w:docPartPr>
        <w:name w:val="{a65b8ff5-5b12-4bf3-b265-39d5fd0e91f4}"/>
        <w:style w:val=""/>
        <w:category>
          <w:name w:val="常规"/>
          <w:gallery w:val="placeholder"/>
        </w:category>
        <w:types>
          <w:type w:val="bbPlcHdr"/>
        </w:types>
        <w:behaviors>
          <w:behavior w:val="content"/>
        </w:behaviors>
        <w:description w:val=""/>
        <w:guid w:val="{a65b8ff5-5b12-4bf3-b265-39d5fd0e91f4}"/>
      </w:docPartPr>
      <w:docPartBody>
        <w:p>
          <w:r>
            <w:rPr>
              <w:color w:val="808080"/>
            </w:rPr>
            <w:t>单击此处输入文字。</w:t>
          </w:r>
        </w:p>
      </w:docPartBody>
    </w:docPart>
    <w:docPart>
      <w:docPartPr>
        <w:name w:val="{c8cde09c-511d-458a-bda5-0dff6ac960f3}"/>
        <w:style w:val=""/>
        <w:category>
          <w:name w:val="常规"/>
          <w:gallery w:val="placeholder"/>
        </w:category>
        <w:types>
          <w:type w:val="bbPlcHdr"/>
        </w:types>
        <w:behaviors>
          <w:behavior w:val="content"/>
        </w:behaviors>
        <w:description w:val=""/>
        <w:guid w:val="{c8cde09c-511d-458a-bda5-0dff6ac960f3}"/>
      </w:docPartPr>
      <w:docPartBody>
        <w:p>
          <w:r>
            <w:rPr>
              <w:color w:val="808080"/>
            </w:rPr>
            <w:t>单击此处输入文字。</w:t>
          </w:r>
        </w:p>
      </w:docPartBody>
    </w:docPart>
    <w:docPart>
      <w:docPartPr>
        <w:name w:val="{fbd9064f-c125-4d73-8737-95ab035b903b}"/>
        <w:style w:val=""/>
        <w:category>
          <w:name w:val="常规"/>
          <w:gallery w:val="placeholder"/>
        </w:category>
        <w:types>
          <w:type w:val="bbPlcHdr"/>
        </w:types>
        <w:behaviors>
          <w:behavior w:val="content"/>
        </w:behaviors>
        <w:description w:val=""/>
        <w:guid w:val="{fbd9064f-c125-4d73-8737-95ab035b903b}"/>
      </w:docPartPr>
      <w:docPartBody>
        <w:p>
          <w:r>
            <w:rPr>
              <w:color w:val="808080"/>
            </w:rPr>
            <w:t>单击此处输入文字。</w:t>
          </w:r>
        </w:p>
      </w:docPartBody>
    </w:docPart>
    <w:docPart>
      <w:docPartPr>
        <w:name w:val="{57921def-21cf-4cc7-a578-cd5167a60a6b}"/>
        <w:style w:val=""/>
        <w:category>
          <w:name w:val="常规"/>
          <w:gallery w:val="placeholder"/>
        </w:category>
        <w:types>
          <w:type w:val="bbPlcHdr"/>
        </w:types>
        <w:behaviors>
          <w:behavior w:val="content"/>
        </w:behaviors>
        <w:description w:val=""/>
        <w:guid w:val="{57921def-21cf-4cc7-a578-cd5167a60a6b}"/>
      </w:docPartPr>
      <w:docPartBody>
        <w:p>
          <w:r>
            <w:rPr>
              <w:color w:val="808080"/>
            </w:rPr>
            <w:t>单击此处输入文字。</w:t>
          </w:r>
        </w:p>
      </w:docPartBody>
    </w:docPart>
    <w:docPart>
      <w:docPartPr>
        <w:name w:val="{58efebd4-bedb-4f64-9f37-4322952e8b15}"/>
        <w:style w:val=""/>
        <w:category>
          <w:name w:val="常规"/>
          <w:gallery w:val="placeholder"/>
        </w:category>
        <w:types>
          <w:type w:val="bbPlcHdr"/>
        </w:types>
        <w:behaviors>
          <w:behavior w:val="content"/>
        </w:behaviors>
        <w:description w:val=""/>
        <w:guid w:val="{58efebd4-bedb-4f64-9f37-4322952e8b15}"/>
      </w:docPartPr>
      <w:docPartBody>
        <w:p>
          <w:r>
            <w:rPr>
              <w:color w:val="808080"/>
            </w:rPr>
            <w:t>单击此处输入文字。</w:t>
          </w:r>
        </w:p>
      </w:docPartBody>
    </w:docPart>
    <w:docPart>
      <w:docPartPr>
        <w:name w:val="{6a50479d-1194-4aef-8446-8c28fef7b8de}"/>
        <w:style w:val=""/>
        <w:category>
          <w:name w:val="常规"/>
          <w:gallery w:val="placeholder"/>
        </w:category>
        <w:types>
          <w:type w:val="bbPlcHdr"/>
        </w:types>
        <w:behaviors>
          <w:behavior w:val="content"/>
        </w:behaviors>
        <w:description w:val=""/>
        <w:guid w:val="{6a50479d-1194-4aef-8446-8c28fef7b8de}"/>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2019-09-17T11:44:00Z</dcterms:created>
  <dc:creator>幸福</dc:creator>
  <cp:lastModifiedBy>幸福</cp:lastModifiedBy>
  <dcterms:modified xsi:type="dcterms:W3CDTF">2019-09-18T05:26:24Z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